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50" w:rsidRPr="00531DAB" w:rsidRDefault="00795F61" w:rsidP="00795F6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0C34C0" w:rsidRPr="00531DAB">
        <w:rPr>
          <w:rFonts w:ascii="Arial" w:hAnsi="Arial" w:cs="Arial"/>
          <w:sz w:val="16"/>
          <w:szCs w:val="16"/>
        </w:rPr>
        <w:t xml:space="preserve">Załącznik Nr 1 do Uchwały </w:t>
      </w:r>
      <w:r w:rsidR="00531DAB">
        <w:rPr>
          <w:rFonts w:ascii="Arial" w:hAnsi="Arial" w:cs="Arial"/>
          <w:sz w:val="16"/>
          <w:szCs w:val="16"/>
        </w:rPr>
        <w:t>Nr</w:t>
      </w:r>
      <w:r w:rsidR="00ED0FCD">
        <w:rPr>
          <w:rFonts w:ascii="Arial" w:hAnsi="Arial" w:cs="Arial"/>
          <w:sz w:val="16"/>
          <w:szCs w:val="16"/>
        </w:rPr>
        <w:t xml:space="preserve"> 1761</w:t>
      </w:r>
      <w:r w:rsidR="00531DAB">
        <w:rPr>
          <w:rFonts w:ascii="Arial" w:hAnsi="Arial" w:cs="Arial"/>
          <w:sz w:val="16"/>
          <w:szCs w:val="16"/>
        </w:rPr>
        <w:t>/2016 z dnia</w:t>
      </w:r>
      <w:r w:rsidR="00ED0FCD">
        <w:rPr>
          <w:rFonts w:ascii="Arial" w:hAnsi="Arial" w:cs="Arial"/>
          <w:sz w:val="16"/>
          <w:szCs w:val="16"/>
        </w:rPr>
        <w:t xml:space="preserve"> 14.11.2016 </w:t>
      </w:r>
      <w:r w:rsidR="00531DAB">
        <w:rPr>
          <w:rFonts w:ascii="Arial" w:hAnsi="Arial" w:cs="Arial"/>
          <w:sz w:val="16"/>
          <w:szCs w:val="16"/>
        </w:rPr>
        <w:t>r. Zarzą</w:t>
      </w:r>
      <w:r w:rsidR="00531DAB" w:rsidRPr="00531DAB">
        <w:rPr>
          <w:rFonts w:ascii="Arial" w:hAnsi="Arial" w:cs="Arial"/>
          <w:sz w:val="16"/>
          <w:szCs w:val="16"/>
        </w:rPr>
        <w:t>du Województwa</w:t>
      </w:r>
      <w:r w:rsidR="00531DAB">
        <w:rPr>
          <w:rFonts w:ascii="Arial" w:hAnsi="Arial" w:cs="Arial"/>
          <w:sz w:val="16"/>
          <w:szCs w:val="16"/>
        </w:rPr>
        <w:t xml:space="preserve"> Zachodniopomorskiego</w:t>
      </w:r>
    </w:p>
    <w:p w:rsidR="00531DAB" w:rsidRDefault="00531DAB">
      <w:pPr>
        <w:rPr>
          <w:rFonts w:ascii="Arial" w:hAnsi="Arial" w:cs="Arial"/>
          <w:sz w:val="16"/>
          <w:szCs w:val="16"/>
        </w:rPr>
      </w:pPr>
    </w:p>
    <w:p w:rsidR="00531DAB" w:rsidRDefault="00531DAB">
      <w:pPr>
        <w:rPr>
          <w:rFonts w:ascii="Arial" w:hAnsi="Arial" w:cs="Arial"/>
          <w:sz w:val="16"/>
          <w:szCs w:val="16"/>
        </w:rPr>
      </w:pPr>
    </w:p>
    <w:p w:rsidR="00531DAB" w:rsidRDefault="00531DAB">
      <w:pPr>
        <w:rPr>
          <w:rFonts w:ascii="Arial" w:hAnsi="Arial" w:cs="Arial"/>
          <w:sz w:val="16"/>
          <w:szCs w:val="16"/>
        </w:rPr>
      </w:pPr>
    </w:p>
    <w:p w:rsidR="00CD1EDD" w:rsidRPr="00CD1EDD" w:rsidRDefault="00531DAB" w:rsidP="00531DAB">
      <w:pPr>
        <w:jc w:val="center"/>
        <w:rPr>
          <w:rFonts w:ascii="Arial" w:hAnsi="Arial" w:cs="Arial"/>
          <w:b/>
          <w:sz w:val="24"/>
          <w:szCs w:val="24"/>
        </w:rPr>
      </w:pPr>
      <w:r w:rsidRPr="00CD1EDD">
        <w:rPr>
          <w:rFonts w:ascii="Arial" w:hAnsi="Arial" w:cs="Arial"/>
          <w:b/>
          <w:sz w:val="24"/>
          <w:szCs w:val="24"/>
        </w:rPr>
        <w:t xml:space="preserve">INSTRUKCJA </w:t>
      </w:r>
    </w:p>
    <w:p w:rsidR="00ED0FCD" w:rsidRDefault="00531DAB" w:rsidP="00ED0FCD">
      <w:pPr>
        <w:spacing w:after="120" w:line="240" w:lineRule="auto"/>
        <w:jc w:val="center"/>
        <w:rPr>
          <w:rFonts w:ascii="Arial" w:hAnsi="Arial" w:cs="Arial"/>
          <w:b/>
        </w:rPr>
      </w:pPr>
      <w:r w:rsidRPr="00CD1EDD">
        <w:rPr>
          <w:rFonts w:ascii="Arial" w:hAnsi="Arial" w:cs="Arial"/>
          <w:b/>
        </w:rPr>
        <w:t>SPORZĄDZANIA BILANSU</w:t>
      </w:r>
      <w:r w:rsidR="001B470D" w:rsidRPr="00CD1EDD">
        <w:rPr>
          <w:rFonts w:ascii="Arial" w:hAnsi="Arial" w:cs="Arial"/>
          <w:b/>
        </w:rPr>
        <w:t xml:space="preserve"> SKONSOLIDOWANEGO</w:t>
      </w:r>
    </w:p>
    <w:p w:rsidR="00531DAB" w:rsidRPr="00CD1EDD" w:rsidRDefault="00531DAB" w:rsidP="00ED0FCD">
      <w:pPr>
        <w:spacing w:after="120" w:line="240" w:lineRule="auto"/>
        <w:jc w:val="center"/>
        <w:rPr>
          <w:rFonts w:ascii="Arial" w:hAnsi="Arial" w:cs="Arial"/>
          <w:b/>
        </w:rPr>
      </w:pPr>
      <w:r w:rsidRPr="00CD1EDD">
        <w:rPr>
          <w:rFonts w:ascii="Arial" w:hAnsi="Arial" w:cs="Arial"/>
          <w:b/>
        </w:rPr>
        <w:t>WOJEWÓDZTWA ZACHODNIOPOMORSKIEGO</w:t>
      </w:r>
      <w:r w:rsidR="00CD1EDD" w:rsidRPr="00CD1EDD">
        <w:rPr>
          <w:rFonts w:ascii="Arial" w:hAnsi="Arial" w:cs="Arial"/>
          <w:b/>
        </w:rPr>
        <w:t>.</w:t>
      </w:r>
    </w:p>
    <w:p w:rsidR="00761725" w:rsidRPr="00761725" w:rsidRDefault="00761725" w:rsidP="00531DAB">
      <w:pPr>
        <w:jc w:val="center"/>
        <w:rPr>
          <w:rFonts w:ascii="Arial" w:hAnsi="Arial" w:cs="Arial"/>
          <w:b/>
        </w:rPr>
      </w:pPr>
    </w:p>
    <w:p w:rsidR="00761725" w:rsidRPr="00761725" w:rsidRDefault="00761725" w:rsidP="00531DAB">
      <w:pPr>
        <w:jc w:val="center"/>
        <w:rPr>
          <w:rFonts w:ascii="Arial" w:hAnsi="Arial" w:cs="Arial"/>
          <w:sz w:val="20"/>
          <w:szCs w:val="20"/>
        </w:rPr>
      </w:pPr>
      <w:r w:rsidRPr="00761725">
        <w:rPr>
          <w:rFonts w:ascii="Arial" w:hAnsi="Arial" w:cs="Arial"/>
          <w:sz w:val="20"/>
          <w:szCs w:val="20"/>
        </w:rPr>
        <w:t>§ 1</w:t>
      </w:r>
    </w:p>
    <w:p w:rsidR="00761725" w:rsidRDefault="00761725" w:rsidP="00761725">
      <w:pPr>
        <w:rPr>
          <w:rFonts w:ascii="Arial" w:hAnsi="Arial" w:cs="Arial"/>
          <w:sz w:val="20"/>
          <w:szCs w:val="20"/>
        </w:rPr>
      </w:pPr>
      <w:r w:rsidRPr="00761725">
        <w:rPr>
          <w:rFonts w:ascii="Arial" w:hAnsi="Arial" w:cs="Arial"/>
          <w:sz w:val="20"/>
          <w:szCs w:val="20"/>
        </w:rPr>
        <w:t>Ilekroć</w:t>
      </w:r>
      <w:r>
        <w:rPr>
          <w:rFonts w:ascii="Arial" w:hAnsi="Arial" w:cs="Arial"/>
          <w:sz w:val="20"/>
          <w:szCs w:val="20"/>
        </w:rPr>
        <w:t xml:space="preserve"> w instrukcji mowa o:</w:t>
      </w:r>
    </w:p>
    <w:p w:rsidR="00761725" w:rsidRPr="00ED0FCD" w:rsidRDefault="0056083F" w:rsidP="00ED0FC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0FCD">
        <w:rPr>
          <w:rFonts w:ascii="Arial" w:hAnsi="Arial" w:cs="Arial"/>
          <w:sz w:val="20"/>
          <w:szCs w:val="20"/>
        </w:rPr>
        <w:t>u</w:t>
      </w:r>
      <w:r w:rsidR="00761725" w:rsidRPr="00ED0FCD">
        <w:rPr>
          <w:rFonts w:ascii="Arial" w:hAnsi="Arial" w:cs="Arial"/>
          <w:sz w:val="20"/>
          <w:szCs w:val="20"/>
        </w:rPr>
        <w:t xml:space="preserve">stawie o rachunkowości – rozumie się przez to ustawę z </w:t>
      </w:r>
      <w:r w:rsidR="00ED0FCD" w:rsidRPr="00ED0FCD">
        <w:rPr>
          <w:rFonts w:ascii="Arial" w:hAnsi="Arial" w:cs="Arial"/>
          <w:sz w:val="20"/>
          <w:szCs w:val="20"/>
        </w:rPr>
        <w:t>dnia 29 września 1994 r.</w:t>
      </w:r>
      <w:r w:rsidR="00ED0FCD">
        <w:rPr>
          <w:rFonts w:ascii="Arial" w:hAnsi="Arial" w:cs="Arial"/>
          <w:sz w:val="20"/>
          <w:szCs w:val="20"/>
        </w:rPr>
        <w:t xml:space="preserve">                 </w:t>
      </w:r>
      <w:r w:rsidR="00761725" w:rsidRPr="00ED0FCD">
        <w:rPr>
          <w:rFonts w:ascii="Arial" w:hAnsi="Arial" w:cs="Arial"/>
          <w:sz w:val="20"/>
          <w:szCs w:val="20"/>
        </w:rPr>
        <w:t>o ra</w:t>
      </w:r>
      <w:r w:rsidR="005459BC" w:rsidRPr="00ED0FCD">
        <w:rPr>
          <w:rFonts w:ascii="Arial" w:hAnsi="Arial" w:cs="Arial"/>
          <w:sz w:val="20"/>
          <w:szCs w:val="20"/>
        </w:rPr>
        <w:t>chunkowości (j. t. Dz. U. z 2016</w:t>
      </w:r>
      <w:r w:rsidR="00761725" w:rsidRPr="00ED0FCD">
        <w:rPr>
          <w:rFonts w:ascii="Arial" w:hAnsi="Arial" w:cs="Arial"/>
          <w:sz w:val="20"/>
          <w:szCs w:val="20"/>
        </w:rPr>
        <w:t xml:space="preserve"> r. poz.</w:t>
      </w:r>
      <w:r w:rsidR="005459BC" w:rsidRPr="00ED0FCD">
        <w:rPr>
          <w:rFonts w:ascii="Arial" w:hAnsi="Arial" w:cs="Arial"/>
          <w:sz w:val="20"/>
          <w:szCs w:val="20"/>
        </w:rPr>
        <w:t>1047</w:t>
      </w:r>
      <w:r w:rsidR="00761725" w:rsidRPr="00ED0FCD">
        <w:rPr>
          <w:rFonts w:ascii="Arial" w:hAnsi="Arial" w:cs="Arial"/>
          <w:sz w:val="20"/>
          <w:szCs w:val="20"/>
        </w:rPr>
        <w:t xml:space="preserve"> ze zm.),</w:t>
      </w:r>
    </w:p>
    <w:p w:rsidR="00761725" w:rsidRDefault="003A0A01" w:rsidP="00761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61725">
        <w:rPr>
          <w:rFonts w:ascii="Arial" w:hAnsi="Arial" w:cs="Arial"/>
          <w:sz w:val="20"/>
          <w:szCs w:val="20"/>
        </w:rPr>
        <w:t>ozporządzeniu Ministra Finansów</w:t>
      </w:r>
      <w:r w:rsidR="00737F34">
        <w:rPr>
          <w:rFonts w:ascii="Arial" w:hAnsi="Arial" w:cs="Arial"/>
          <w:sz w:val="20"/>
          <w:szCs w:val="20"/>
        </w:rPr>
        <w:t xml:space="preserve"> </w:t>
      </w:r>
      <w:r w:rsidR="00761725">
        <w:rPr>
          <w:rFonts w:ascii="Arial" w:hAnsi="Arial" w:cs="Arial"/>
          <w:sz w:val="20"/>
          <w:szCs w:val="20"/>
        </w:rPr>
        <w:t xml:space="preserve">- rozumie się przez to rozporządzenie Ministra Finansów </w:t>
      </w:r>
      <w:r w:rsidR="0050783C">
        <w:rPr>
          <w:rFonts w:ascii="Arial" w:hAnsi="Arial" w:cs="Arial"/>
          <w:sz w:val="20"/>
          <w:szCs w:val="20"/>
        </w:rPr>
        <w:t xml:space="preserve">           </w:t>
      </w:r>
      <w:r w:rsidR="004A1CF0">
        <w:rPr>
          <w:rFonts w:ascii="Arial" w:hAnsi="Arial" w:cs="Arial"/>
          <w:sz w:val="20"/>
          <w:szCs w:val="20"/>
        </w:rPr>
        <w:t>z dnia 5 lipca 2010</w:t>
      </w:r>
      <w:r w:rsidR="00761725">
        <w:rPr>
          <w:rFonts w:ascii="Arial" w:hAnsi="Arial" w:cs="Arial"/>
          <w:sz w:val="20"/>
          <w:szCs w:val="20"/>
        </w:rPr>
        <w:t xml:space="preserve"> r. w sprawie szczegó</w:t>
      </w:r>
      <w:r w:rsidR="001800C6">
        <w:rPr>
          <w:rFonts w:ascii="Arial" w:hAnsi="Arial" w:cs="Arial"/>
          <w:sz w:val="20"/>
          <w:szCs w:val="20"/>
        </w:rPr>
        <w:t>ln</w:t>
      </w:r>
      <w:r w:rsidR="00761725">
        <w:rPr>
          <w:rFonts w:ascii="Arial" w:hAnsi="Arial" w:cs="Arial"/>
          <w:sz w:val="20"/>
          <w:szCs w:val="20"/>
        </w:rPr>
        <w:t>ych zasad rachunkowości oraz planów kont dla budżetu państwa</w:t>
      </w:r>
      <w:r w:rsidR="00813830">
        <w:rPr>
          <w:rFonts w:ascii="Arial" w:hAnsi="Arial" w:cs="Arial"/>
          <w:sz w:val="20"/>
          <w:szCs w:val="20"/>
        </w:rPr>
        <w:t>, bud</w:t>
      </w:r>
      <w:r w:rsidR="0050783C">
        <w:rPr>
          <w:rFonts w:ascii="Arial" w:hAnsi="Arial" w:cs="Arial"/>
          <w:sz w:val="20"/>
          <w:szCs w:val="20"/>
        </w:rPr>
        <w:t xml:space="preserve">żetów </w:t>
      </w:r>
      <w:r w:rsidR="00813830">
        <w:rPr>
          <w:rFonts w:ascii="Arial" w:hAnsi="Arial" w:cs="Arial"/>
          <w:sz w:val="20"/>
          <w:szCs w:val="20"/>
        </w:rPr>
        <w:t>jed</w:t>
      </w:r>
      <w:r w:rsidR="001800C6">
        <w:rPr>
          <w:rFonts w:ascii="Arial" w:hAnsi="Arial" w:cs="Arial"/>
          <w:sz w:val="20"/>
          <w:szCs w:val="20"/>
        </w:rPr>
        <w:t>nostek samorządu terytorialnego, jednostek budżetowych, samorządowych zakładów budżetowych, państwowych funduszy celowych oraz państwowych jednostek budżetowych mających siedzibę poza granicami Rzeczypospolitej Polskiej                   (</w:t>
      </w:r>
      <w:r w:rsidR="0050783C">
        <w:rPr>
          <w:rFonts w:ascii="Arial" w:hAnsi="Arial" w:cs="Arial"/>
          <w:sz w:val="20"/>
          <w:szCs w:val="20"/>
        </w:rPr>
        <w:t xml:space="preserve">Dz. U. z </w:t>
      </w:r>
      <w:r w:rsidR="00B14E49">
        <w:rPr>
          <w:rFonts w:ascii="Arial" w:hAnsi="Arial" w:cs="Arial"/>
          <w:sz w:val="20"/>
          <w:szCs w:val="20"/>
        </w:rPr>
        <w:t>2013 poz. 289</w:t>
      </w:r>
      <w:r w:rsidR="00DE7B15">
        <w:rPr>
          <w:rFonts w:ascii="Arial" w:hAnsi="Arial" w:cs="Arial"/>
          <w:sz w:val="20"/>
          <w:szCs w:val="20"/>
        </w:rPr>
        <w:t xml:space="preserve"> ze zm.</w:t>
      </w:r>
      <w:r w:rsidR="0050783C">
        <w:rPr>
          <w:rFonts w:ascii="Arial" w:hAnsi="Arial" w:cs="Arial"/>
          <w:sz w:val="20"/>
          <w:szCs w:val="20"/>
        </w:rPr>
        <w:t>),</w:t>
      </w:r>
    </w:p>
    <w:p w:rsidR="0050783C" w:rsidRDefault="00710E38" w:rsidP="00761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0783C">
        <w:rPr>
          <w:rFonts w:ascii="Arial" w:hAnsi="Arial" w:cs="Arial"/>
          <w:sz w:val="20"/>
          <w:szCs w:val="20"/>
        </w:rPr>
        <w:t xml:space="preserve">stawie o finansach publicznych – rozumie się przez to ustawę z dnia </w:t>
      </w:r>
      <w:r w:rsidR="00AC269B">
        <w:rPr>
          <w:rFonts w:ascii="Arial" w:hAnsi="Arial" w:cs="Arial"/>
          <w:sz w:val="20"/>
          <w:szCs w:val="20"/>
        </w:rPr>
        <w:t xml:space="preserve">27 sierpnia 2009 r.                </w:t>
      </w:r>
      <w:r w:rsidR="0050783C">
        <w:rPr>
          <w:rFonts w:ascii="Arial" w:hAnsi="Arial" w:cs="Arial"/>
          <w:sz w:val="20"/>
          <w:szCs w:val="20"/>
        </w:rPr>
        <w:t xml:space="preserve">o finansach publicznych (Dz. U. </w:t>
      </w:r>
      <w:r w:rsidR="00D83D82">
        <w:rPr>
          <w:rFonts w:ascii="Arial" w:hAnsi="Arial" w:cs="Arial"/>
          <w:sz w:val="20"/>
          <w:szCs w:val="20"/>
        </w:rPr>
        <w:t xml:space="preserve">z </w:t>
      </w:r>
      <w:r w:rsidR="005459BC">
        <w:rPr>
          <w:rFonts w:ascii="Arial" w:hAnsi="Arial" w:cs="Arial"/>
          <w:sz w:val="20"/>
          <w:szCs w:val="20"/>
        </w:rPr>
        <w:t>2013</w:t>
      </w:r>
      <w:r w:rsidR="004561B9">
        <w:rPr>
          <w:rFonts w:ascii="Arial" w:hAnsi="Arial" w:cs="Arial"/>
          <w:sz w:val="20"/>
          <w:szCs w:val="20"/>
        </w:rPr>
        <w:t xml:space="preserve"> r.</w:t>
      </w:r>
      <w:r w:rsidR="00D83D82">
        <w:rPr>
          <w:rFonts w:ascii="Arial" w:hAnsi="Arial" w:cs="Arial"/>
          <w:sz w:val="20"/>
          <w:szCs w:val="20"/>
        </w:rPr>
        <w:t xml:space="preserve"> poz.</w:t>
      </w:r>
      <w:r w:rsidR="004561B9">
        <w:rPr>
          <w:rFonts w:ascii="Arial" w:hAnsi="Arial" w:cs="Arial"/>
          <w:sz w:val="20"/>
          <w:szCs w:val="20"/>
        </w:rPr>
        <w:t xml:space="preserve"> 885</w:t>
      </w:r>
      <w:r w:rsidR="00D83D82">
        <w:rPr>
          <w:rFonts w:ascii="Arial" w:hAnsi="Arial" w:cs="Arial"/>
          <w:sz w:val="20"/>
          <w:szCs w:val="20"/>
        </w:rPr>
        <w:t>),</w:t>
      </w:r>
    </w:p>
    <w:p w:rsidR="00705492" w:rsidRDefault="00705492" w:rsidP="00761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sprawozdaniu finansowym</w:t>
      </w:r>
      <w:r w:rsidR="00737F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rozumie się sprawozdanie, o którym mowa w § 45 ustawy </w:t>
      </w:r>
      <w:r w:rsidR="00A83D8A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o rachunkowości,</w:t>
      </w:r>
    </w:p>
    <w:p w:rsidR="00D83D82" w:rsidRDefault="0091558C" w:rsidP="0076172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D83D82">
        <w:rPr>
          <w:rFonts w:ascii="Arial" w:hAnsi="Arial" w:cs="Arial"/>
          <w:sz w:val="20"/>
          <w:szCs w:val="20"/>
        </w:rPr>
        <w:t>arządzie</w:t>
      </w:r>
      <w:r>
        <w:rPr>
          <w:rFonts w:ascii="Arial" w:hAnsi="Arial" w:cs="Arial"/>
          <w:sz w:val="20"/>
          <w:szCs w:val="20"/>
        </w:rPr>
        <w:t xml:space="preserve"> </w:t>
      </w:r>
      <w:r w:rsidR="00D83D82">
        <w:rPr>
          <w:rFonts w:ascii="Arial" w:hAnsi="Arial" w:cs="Arial"/>
          <w:sz w:val="20"/>
          <w:szCs w:val="20"/>
        </w:rPr>
        <w:t>- rozumie się Zarząd W</w:t>
      </w:r>
      <w:r w:rsidR="00737F34">
        <w:rPr>
          <w:rFonts w:ascii="Arial" w:hAnsi="Arial" w:cs="Arial"/>
          <w:sz w:val="20"/>
          <w:szCs w:val="20"/>
        </w:rPr>
        <w:t>ojewództwa Zachodniopomorskiego,</w:t>
      </w:r>
    </w:p>
    <w:p w:rsidR="003C0505" w:rsidRDefault="00737F34" w:rsidP="00FE26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42CD7" w:rsidRPr="00FE26A3">
        <w:rPr>
          <w:rFonts w:ascii="Arial" w:hAnsi="Arial" w:cs="Arial"/>
          <w:sz w:val="20"/>
          <w:szCs w:val="20"/>
        </w:rPr>
        <w:t xml:space="preserve">nformacji </w:t>
      </w:r>
      <w:r>
        <w:rPr>
          <w:rFonts w:ascii="Arial" w:hAnsi="Arial" w:cs="Arial"/>
          <w:sz w:val="20"/>
          <w:szCs w:val="20"/>
        </w:rPr>
        <w:t xml:space="preserve">uzupełniającej </w:t>
      </w:r>
      <w:r w:rsidR="00242CD7" w:rsidRPr="00FE26A3">
        <w:rPr>
          <w:rFonts w:ascii="Arial" w:hAnsi="Arial" w:cs="Arial"/>
          <w:sz w:val="20"/>
          <w:szCs w:val="20"/>
        </w:rPr>
        <w:t>- rozumie się informację</w:t>
      </w:r>
      <w:r w:rsidR="003C0505" w:rsidRPr="00FE26A3">
        <w:rPr>
          <w:rFonts w:ascii="Arial" w:hAnsi="Arial" w:cs="Arial"/>
          <w:sz w:val="20"/>
          <w:szCs w:val="20"/>
        </w:rPr>
        <w:t xml:space="preserve"> </w:t>
      </w:r>
      <w:r w:rsidR="00242CD7" w:rsidRPr="00FE26A3">
        <w:rPr>
          <w:rFonts w:ascii="Arial" w:hAnsi="Arial" w:cs="Arial"/>
          <w:sz w:val="20"/>
          <w:szCs w:val="20"/>
        </w:rPr>
        <w:t xml:space="preserve">o wzajemnych </w:t>
      </w:r>
      <w:r w:rsidR="00D12A6E">
        <w:rPr>
          <w:rFonts w:ascii="Arial" w:hAnsi="Arial" w:cs="Arial"/>
          <w:sz w:val="20"/>
          <w:szCs w:val="20"/>
        </w:rPr>
        <w:t>wyłączeniach</w:t>
      </w:r>
      <w:r w:rsidR="00242CD7" w:rsidRPr="00FE26A3">
        <w:rPr>
          <w:rFonts w:ascii="Arial" w:hAnsi="Arial" w:cs="Arial"/>
          <w:sz w:val="20"/>
          <w:szCs w:val="20"/>
        </w:rPr>
        <w:t xml:space="preserve"> pomiędzy poszczególnymi jednostkami</w:t>
      </w:r>
      <w:r w:rsidR="003C0505" w:rsidRPr="00FE26A3">
        <w:rPr>
          <w:rFonts w:ascii="Arial" w:hAnsi="Arial" w:cs="Arial"/>
          <w:sz w:val="20"/>
          <w:szCs w:val="20"/>
        </w:rPr>
        <w:t xml:space="preserve"> sporządzoną według wzoru stanowiącego załączni</w:t>
      </w:r>
      <w:r w:rsidR="00F73E92">
        <w:rPr>
          <w:rFonts w:ascii="Arial" w:hAnsi="Arial" w:cs="Arial"/>
          <w:sz w:val="20"/>
          <w:szCs w:val="20"/>
        </w:rPr>
        <w:t>k nr 2 do niniejszej Instrukcji,</w:t>
      </w:r>
    </w:p>
    <w:p w:rsidR="00F73E92" w:rsidRPr="00E479E5" w:rsidRDefault="00F73E92" w:rsidP="00FE26A3">
      <w:pPr>
        <w:pStyle w:val="Akapitzlist"/>
        <w:numPr>
          <w:ilvl w:val="0"/>
          <w:numId w:val="1"/>
        </w:numPr>
        <w:jc w:val="both"/>
        <w:rPr>
          <w:rStyle w:val="tx1"/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programie </w:t>
      </w:r>
      <w:proofErr w:type="spellStart"/>
      <w:r>
        <w:rPr>
          <w:rFonts w:ascii="Arial" w:hAnsi="Arial" w:cs="Arial"/>
          <w:sz w:val="20"/>
          <w:szCs w:val="20"/>
        </w:rPr>
        <w:t>BeSTi</w:t>
      </w:r>
      <w:proofErr w:type="spellEnd"/>
      <w:r>
        <w:rPr>
          <w:rFonts w:ascii="Arial" w:hAnsi="Arial" w:cs="Arial"/>
          <w:sz w:val="20"/>
          <w:szCs w:val="20"/>
        </w:rPr>
        <w:t xml:space="preserve">@ - rozumie się </w:t>
      </w:r>
      <w:r w:rsidR="00261C4B" w:rsidRPr="00261C4B">
        <w:rPr>
          <w:rStyle w:val="tx1"/>
          <w:rFonts w:ascii="Arial" w:hAnsi="Arial" w:cs="Arial"/>
          <w:sz w:val="20"/>
          <w:szCs w:val="20"/>
        </w:rPr>
        <w:t>specjalistyczny program przeznaczony do zarządzania budżetami jednostek samorządu terytorialnego</w:t>
      </w:r>
      <w:r w:rsidR="00261C4B">
        <w:rPr>
          <w:rFonts w:ascii="Arial" w:hAnsi="Arial" w:cs="Arial"/>
          <w:sz w:val="20"/>
          <w:szCs w:val="20"/>
        </w:rPr>
        <w:t xml:space="preserve"> pod nazwą </w:t>
      </w:r>
      <w:r>
        <w:rPr>
          <w:rFonts w:ascii="Arial" w:hAnsi="Arial" w:cs="Arial"/>
          <w:sz w:val="20"/>
          <w:szCs w:val="20"/>
        </w:rPr>
        <w:t xml:space="preserve">„System Zarządzania Budżetami Jednostek Samorządu Terytorialnego </w:t>
      </w:r>
      <w:proofErr w:type="spellStart"/>
      <w:r>
        <w:rPr>
          <w:rFonts w:ascii="Arial" w:hAnsi="Arial" w:cs="Arial"/>
          <w:sz w:val="20"/>
          <w:szCs w:val="20"/>
        </w:rPr>
        <w:t>BeSTi</w:t>
      </w:r>
      <w:proofErr w:type="spellEnd"/>
      <w:r>
        <w:rPr>
          <w:rFonts w:ascii="Arial" w:hAnsi="Arial" w:cs="Arial"/>
          <w:sz w:val="20"/>
          <w:szCs w:val="20"/>
        </w:rPr>
        <w:t>@”.</w:t>
      </w:r>
      <w:r w:rsidR="00261C4B" w:rsidRPr="00261C4B">
        <w:t xml:space="preserve"> </w:t>
      </w:r>
      <w:r w:rsidR="00261C4B" w:rsidRPr="00261C4B">
        <w:rPr>
          <w:rFonts w:ascii="Arial" w:hAnsi="Arial" w:cs="Arial"/>
          <w:sz w:val="20"/>
          <w:szCs w:val="20"/>
        </w:rPr>
        <w:t xml:space="preserve">Program </w:t>
      </w:r>
      <w:r w:rsidR="00261C4B">
        <w:rPr>
          <w:rStyle w:val="tx1"/>
          <w:rFonts w:ascii="Arial" w:hAnsi="Arial" w:cs="Arial"/>
          <w:sz w:val="20"/>
          <w:szCs w:val="20"/>
        </w:rPr>
        <w:t>o</w:t>
      </w:r>
      <w:r w:rsidR="00261C4B" w:rsidRPr="00261C4B">
        <w:rPr>
          <w:rStyle w:val="tx1"/>
          <w:rFonts w:ascii="Arial" w:hAnsi="Arial" w:cs="Arial"/>
          <w:sz w:val="20"/>
          <w:szCs w:val="20"/>
        </w:rPr>
        <w:t>bsługuje</w:t>
      </w:r>
      <w:r w:rsidR="00261C4B">
        <w:rPr>
          <w:rStyle w:val="tx1"/>
        </w:rPr>
        <w:t xml:space="preserve"> </w:t>
      </w:r>
      <w:r w:rsidR="00261C4B" w:rsidRPr="00261C4B">
        <w:rPr>
          <w:rStyle w:val="tx1"/>
          <w:rFonts w:ascii="Arial" w:hAnsi="Arial" w:cs="Arial"/>
          <w:sz w:val="20"/>
          <w:szCs w:val="20"/>
        </w:rPr>
        <w:t>między innymi tworzenie</w:t>
      </w:r>
      <w:r w:rsidR="00261C4B">
        <w:rPr>
          <w:rStyle w:val="tx1"/>
        </w:rPr>
        <w:t xml:space="preserve"> </w:t>
      </w:r>
      <w:r w:rsidR="00261C4B" w:rsidRPr="00261C4B">
        <w:rPr>
          <w:rStyle w:val="tx1"/>
          <w:rFonts w:ascii="Arial" w:hAnsi="Arial" w:cs="Arial"/>
          <w:sz w:val="20"/>
          <w:szCs w:val="20"/>
        </w:rPr>
        <w:t>bilansu skonsolidowanego</w:t>
      </w:r>
      <w:r w:rsidR="00261C4B">
        <w:rPr>
          <w:rStyle w:val="tx1"/>
          <w:rFonts w:ascii="Arial" w:hAnsi="Arial" w:cs="Arial"/>
          <w:sz w:val="20"/>
          <w:szCs w:val="20"/>
        </w:rPr>
        <w:t xml:space="preserve">. </w:t>
      </w:r>
      <w:r w:rsidR="00261C4B" w:rsidRPr="00261C4B">
        <w:rPr>
          <w:rStyle w:val="tx1"/>
          <w:rFonts w:ascii="Arial" w:hAnsi="Arial" w:cs="Arial"/>
          <w:sz w:val="20"/>
          <w:szCs w:val="20"/>
        </w:rPr>
        <w:t>Użytkownikami systemu są jednostki samorządu terytorialnego</w:t>
      </w:r>
      <w:r w:rsidR="00261C4B">
        <w:rPr>
          <w:rStyle w:val="tx1"/>
          <w:rFonts w:ascii="Arial" w:hAnsi="Arial" w:cs="Arial"/>
          <w:sz w:val="20"/>
          <w:szCs w:val="20"/>
        </w:rPr>
        <w:t xml:space="preserve">            </w:t>
      </w:r>
      <w:r w:rsidR="00261C4B" w:rsidRPr="00261C4B">
        <w:rPr>
          <w:rStyle w:val="tx1"/>
          <w:rFonts w:ascii="Arial" w:hAnsi="Arial" w:cs="Arial"/>
          <w:sz w:val="20"/>
          <w:szCs w:val="20"/>
        </w:rPr>
        <w:t xml:space="preserve"> i ich związki, regionalne izby obrachunkowe wraz z zespołami zamiejscowymi oraz Ministerstwo Finansów.</w:t>
      </w:r>
    </w:p>
    <w:p w:rsidR="00E479E5" w:rsidRPr="00FE26A3" w:rsidRDefault="00E479E5" w:rsidP="00FE26A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Style w:val="tx1"/>
          <w:rFonts w:ascii="Arial" w:hAnsi="Arial" w:cs="Arial"/>
          <w:sz w:val="20"/>
          <w:szCs w:val="20"/>
        </w:rPr>
        <w:t xml:space="preserve">wydziale – rozumie się przez to  </w:t>
      </w:r>
      <w:r w:rsidR="00537C57">
        <w:rPr>
          <w:rStyle w:val="tx1"/>
          <w:rFonts w:ascii="Arial" w:hAnsi="Arial" w:cs="Arial"/>
          <w:sz w:val="20"/>
          <w:szCs w:val="20"/>
        </w:rPr>
        <w:t>w</w:t>
      </w:r>
      <w:r w:rsidR="00537C57">
        <w:rPr>
          <w:rFonts w:ascii="Arial" w:hAnsi="Arial" w:cs="Arial"/>
          <w:sz w:val="20"/>
          <w:szCs w:val="20"/>
        </w:rPr>
        <w:t>ydziały/biura o randze wydziałów nadzorujące jednostki wchodzące w skład grupy kapitałowej Województwa Zachodniopomorskiego.</w:t>
      </w:r>
    </w:p>
    <w:p w:rsidR="00242CD7" w:rsidRDefault="00242CD7" w:rsidP="003C0505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50783C" w:rsidRPr="0050783C" w:rsidRDefault="0019155D" w:rsidP="001915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761725" w:rsidRDefault="0019155D" w:rsidP="001915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 się następujące zasady sporządzania skonsolidowanego bilansu Województwa Zachodniopomorskiego:</w:t>
      </w:r>
    </w:p>
    <w:p w:rsidR="00473AB6" w:rsidRDefault="00473AB6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</w:t>
      </w:r>
      <w:r w:rsidR="0019155D">
        <w:rPr>
          <w:rFonts w:ascii="Arial" w:hAnsi="Arial" w:cs="Arial"/>
          <w:sz w:val="20"/>
          <w:szCs w:val="20"/>
        </w:rPr>
        <w:t xml:space="preserve"> Zachodniopomorskie</w:t>
      </w:r>
      <w:r>
        <w:rPr>
          <w:rFonts w:ascii="Arial" w:hAnsi="Arial" w:cs="Arial"/>
          <w:sz w:val="20"/>
          <w:szCs w:val="20"/>
        </w:rPr>
        <w:t xml:space="preserve">go </w:t>
      </w:r>
      <w:r w:rsidR="0019155D">
        <w:rPr>
          <w:rFonts w:ascii="Arial" w:hAnsi="Arial" w:cs="Arial"/>
          <w:sz w:val="20"/>
          <w:szCs w:val="20"/>
        </w:rPr>
        <w:t>sporządza</w:t>
      </w:r>
      <w:r>
        <w:rPr>
          <w:rFonts w:ascii="Arial" w:hAnsi="Arial" w:cs="Arial"/>
          <w:sz w:val="20"/>
          <w:szCs w:val="20"/>
        </w:rPr>
        <w:t xml:space="preserve"> bilans skonsolidowany.</w:t>
      </w:r>
    </w:p>
    <w:p w:rsidR="00473AB6" w:rsidRDefault="00473AB6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 skonsolidowany sporządza się i przekazuje do właściwej Regionalnej Izby Obrachunkowej w terminie do dnia 30 czerwca roku następnego.</w:t>
      </w:r>
    </w:p>
    <w:p w:rsidR="00473AB6" w:rsidRDefault="00473AB6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 skonsolidowany sporządza się w języku polskim i w walucie polskiej. Dane liczbowe wykazuje się w złotych i w groszach.</w:t>
      </w:r>
    </w:p>
    <w:p w:rsidR="002C46BA" w:rsidRPr="00537C57" w:rsidRDefault="004922A6" w:rsidP="00537C5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Bilans skonsolidowany podpisuje Skarbnik Województwa</w:t>
      </w:r>
      <w:r w:rsidR="005A75D2">
        <w:rPr>
          <w:rFonts w:ascii="Arial" w:hAnsi="Arial" w:cs="Arial"/>
          <w:sz w:val="20"/>
          <w:szCs w:val="20"/>
        </w:rPr>
        <w:t xml:space="preserve"> i Zarząd</w:t>
      </w:r>
      <w:r>
        <w:rPr>
          <w:rFonts w:ascii="Arial" w:hAnsi="Arial" w:cs="Arial"/>
          <w:sz w:val="20"/>
          <w:szCs w:val="20"/>
        </w:rPr>
        <w:t>.</w:t>
      </w:r>
    </w:p>
    <w:p w:rsidR="002C46BA" w:rsidRDefault="002C46BA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 w rozumieniu § 21 </w:t>
      </w:r>
      <w:r w:rsidR="005A75D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ozporządzenia </w:t>
      </w:r>
      <w:r w:rsidR="00FD401E">
        <w:rPr>
          <w:rFonts w:ascii="Arial" w:hAnsi="Arial" w:cs="Arial"/>
          <w:sz w:val="20"/>
          <w:szCs w:val="20"/>
        </w:rPr>
        <w:t>Ministra Finansów jest jednostką</w:t>
      </w:r>
      <w:r>
        <w:rPr>
          <w:rFonts w:ascii="Arial" w:hAnsi="Arial" w:cs="Arial"/>
          <w:sz w:val="20"/>
          <w:szCs w:val="20"/>
        </w:rPr>
        <w:t xml:space="preserve"> dominującą.</w:t>
      </w:r>
    </w:p>
    <w:p w:rsidR="002C46BA" w:rsidRDefault="002C46BA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Przez bilans jednostki dominującej rozumie się bilans obejmujący dane finansowe</w:t>
      </w:r>
      <w:r w:rsidR="00FD401E">
        <w:rPr>
          <w:rFonts w:ascii="Arial" w:hAnsi="Arial" w:cs="Arial"/>
          <w:sz w:val="20"/>
          <w:szCs w:val="20"/>
        </w:rPr>
        <w:t xml:space="preserve"> </w:t>
      </w:r>
      <w:r w:rsidR="008B340E">
        <w:rPr>
          <w:rFonts w:ascii="Arial" w:hAnsi="Arial" w:cs="Arial"/>
          <w:sz w:val="20"/>
          <w:szCs w:val="20"/>
        </w:rPr>
        <w:t xml:space="preserve">                            </w:t>
      </w:r>
      <w:r w:rsidR="004922A6">
        <w:rPr>
          <w:rFonts w:ascii="Arial" w:hAnsi="Arial" w:cs="Arial"/>
          <w:sz w:val="20"/>
          <w:szCs w:val="20"/>
        </w:rPr>
        <w:t xml:space="preserve">z </w:t>
      </w:r>
      <w:r w:rsidR="00335226">
        <w:rPr>
          <w:rFonts w:ascii="Arial" w:hAnsi="Arial" w:cs="Arial"/>
          <w:sz w:val="20"/>
          <w:szCs w:val="20"/>
        </w:rPr>
        <w:t xml:space="preserve">bilansu z </w:t>
      </w:r>
      <w:r w:rsidR="004922A6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budżetu Województwa oraz</w:t>
      </w:r>
      <w:r w:rsidR="00D356FB">
        <w:rPr>
          <w:rFonts w:ascii="Arial" w:hAnsi="Arial" w:cs="Arial"/>
          <w:sz w:val="20"/>
          <w:szCs w:val="20"/>
        </w:rPr>
        <w:t xml:space="preserve"> z</w:t>
      </w:r>
      <w:r w:rsidR="00FD401E">
        <w:rPr>
          <w:rFonts w:ascii="Arial" w:hAnsi="Arial" w:cs="Arial"/>
          <w:sz w:val="20"/>
          <w:szCs w:val="20"/>
        </w:rPr>
        <w:t xml:space="preserve"> łącznego bilansu podległych</w:t>
      </w:r>
      <w:r w:rsidR="00242CD7">
        <w:rPr>
          <w:rFonts w:ascii="Arial" w:hAnsi="Arial" w:cs="Arial"/>
          <w:sz w:val="20"/>
          <w:szCs w:val="20"/>
        </w:rPr>
        <w:t xml:space="preserve"> samorządowych</w:t>
      </w:r>
      <w:r w:rsidR="00FD401E">
        <w:rPr>
          <w:rFonts w:ascii="Arial" w:hAnsi="Arial" w:cs="Arial"/>
          <w:sz w:val="20"/>
          <w:szCs w:val="20"/>
        </w:rPr>
        <w:t xml:space="preserve"> </w:t>
      </w:r>
      <w:r w:rsidR="0091558C">
        <w:rPr>
          <w:rFonts w:ascii="Arial" w:hAnsi="Arial" w:cs="Arial"/>
          <w:sz w:val="20"/>
          <w:szCs w:val="20"/>
        </w:rPr>
        <w:t xml:space="preserve">jednostek budżetowych </w:t>
      </w:r>
      <w:r w:rsidR="00FD401E">
        <w:rPr>
          <w:rFonts w:ascii="Arial" w:hAnsi="Arial" w:cs="Arial"/>
          <w:sz w:val="20"/>
          <w:szCs w:val="20"/>
        </w:rPr>
        <w:t>i samorządowych zakładów budżetowych</w:t>
      </w:r>
      <w:r w:rsidR="00F87C66">
        <w:rPr>
          <w:rFonts w:ascii="Arial" w:hAnsi="Arial" w:cs="Arial"/>
          <w:sz w:val="20"/>
          <w:szCs w:val="20"/>
        </w:rPr>
        <w:t>.</w:t>
      </w:r>
    </w:p>
    <w:p w:rsidR="00F87C66" w:rsidRDefault="00F87C66" w:rsidP="0019155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Konsolidacją zostaje objęty bilans jednostki dominującej i bilanse </w:t>
      </w:r>
      <w:r w:rsidR="00243474">
        <w:rPr>
          <w:rFonts w:ascii="Arial" w:hAnsi="Arial" w:cs="Arial"/>
          <w:sz w:val="20"/>
          <w:szCs w:val="20"/>
        </w:rPr>
        <w:t xml:space="preserve">niżej wymienionych </w:t>
      </w:r>
      <w:r>
        <w:rPr>
          <w:rFonts w:ascii="Arial" w:hAnsi="Arial" w:cs="Arial"/>
          <w:sz w:val="20"/>
          <w:szCs w:val="20"/>
        </w:rPr>
        <w:t>jedn</w:t>
      </w:r>
      <w:r w:rsidR="00243474">
        <w:rPr>
          <w:rFonts w:ascii="Arial" w:hAnsi="Arial" w:cs="Arial"/>
          <w:sz w:val="20"/>
          <w:szCs w:val="20"/>
        </w:rPr>
        <w:t xml:space="preserve">ostek wchodzących </w:t>
      </w:r>
      <w:r>
        <w:rPr>
          <w:rFonts w:ascii="Arial" w:hAnsi="Arial" w:cs="Arial"/>
          <w:sz w:val="20"/>
          <w:szCs w:val="20"/>
        </w:rPr>
        <w:t>w skład grupy kapitałowej:</w:t>
      </w:r>
    </w:p>
    <w:p w:rsidR="00F87C66" w:rsidRDefault="00242CD7" w:rsidP="00F87C6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</w:t>
      </w:r>
      <w:r w:rsidR="00335226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publiczn</w:t>
      </w:r>
      <w:r w:rsidR="00335226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zakład</w:t>
      </w:r>
      <w:r w:rsidR="00335226">
        <w:rPr>
          <w:rFonts w:ascii="Arial" w:hAnsi="Arial" w:cs="Arial"/>
          <w:sz w:val="20"/>
          <w:szCs w:val="20"/>
        </w:rPr>
        <w:t>ów</w:t>
      </w:r>
      <w:r w:rsidR="00F87C66">
        <w:rPr>
          <w:rFonts w:ascii="Arial" w:hAnsi="Arial" w:cs="Arial"/>
          <w:sz w:val="20"/>
          <w:szCs w:val="20"/>
        </w:rPr>
        <w:t xml:space="preserve"> opieki zdrowotnej,</w:t>
      </w:r>
    </w:p>
    <w:p w:rsidR="00F87C66" w:rsidRDefault="0056083F" w:rsidP="00F87C6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42CD7">
        <w:rPr>
          <w:rFonts w:ascii="Arial" w:hAnsi="Arial" w:cs="Arial"/>
          <w:sz w:val="20"/>
          <w:szCs w:val="20"/>
        </w:rPr>
        <w:t>amorządow</w:t>
      </w:r>
      <w:r w:rsidR="00335226">
        <w:rPr>
          <w:rFonts w:ascii="Arial" w:hAnsi="Arial" w:cs="Arial"/>
          <w:sz w:val="20"/>
          <w:szCs w:val="20"/>
        </w:rPr>
        <w:t>ych instytucji</w:t>
      </w:r>
      <w:r w:rsidR="00F87C66">
        <w:rPr>
          <w:rFonts w:ascii="Arial" w:hAnsi="Arial" w:cs="Arial"/>
          <w:sz w:val="20"/>
          <w:szCs w:val="20"/>
        </w:rPr>
        <w:t xml:space="preserve"> kultury,</w:t>
      </w:r>
    </w:p>
    <w:p w:rsidR="00F87C66" w:rsidRDefault="0056083F" w:rsidP="00F87C6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42CD7">
        <w:rPr>
          <w:rFonts w:ascii="Arial" w:hAnsi="Arial" w:cs="Arial"/>
          <w:sz w:val="20"/>
          <w:szCs w:val="20"/>
        </w:rPr>
        <w:t>amorządow</w:t>
      </w:r>
      <w:r w:rsidR="00335226">
        <w:rPr>
          <w:rFonts w:ascii="Arial" w:hAnsi="Arial" w:cs="Arial"/>
          <w:sz w:val="20"/>
          <w:szCs w:val="20"/>
        </w:rPr>
        <w:t>ych osó</w:t>
      </w:r>
      <w:r w:rsidR="00F87C66">
        <w:rPr>
          <w:rFonts w:ascii="Arial" w:hAnsi="Arial" w:cs="Arial"/>
          <w:sz w:val="20"/>
          <w:szCs w:val="20"/>
        </w:rPr>
        <w:t>b</w:t>
      </w:r>
      <w:r w:rsidR="00242CD7">
        <w:rPr>
          <w:rFonts w:ascii="Arial" w:hAnsi="Arial" w:cs="Arial"/>
          <w:sz w:val="20"/>
          <w:szCs w:val="20"/>
        </w:rPr>
        <w:t xml:space="preserve"> prawn</w:t>
      </w:r>
      <w:r w:rsidR="00335226">
        <w:rPr>
          <w:rFonts w:ascii="Arial" w:hAnsi="Arial" w:cs="Arial"/>
          <w:sz w:val="20"/>
          <w:szCs w:val="20"/>
        </w:rPr>
        <w:t>ych</w:t>
      </w:r>
      <w:r w:rsidR="00242CD7">
        <w:rPr>
          <w:rFonts w:ascii="Arial" w:hAnsi="Arial" w:cs="Arial"/>
          <w:sz w:val="20"/>
          <w:szCs w:val="20"/>
        </w:rPr>
        <w:t xml:space="preserve"> utworzon</w:t>
      </w:r>
      <w:r w:rsidR="00335226">
        <w:rPr>
          <w:rFonts w:ascii="Arial" w:hAnsi="Arial" w:cs="Arial"/>
          <w:sz w:val="20"/>
          <w:szCs w:val="20"/>
        </w:rPr>
        <w:t>ych</w:t>
      </w:r>
      <w:r w:rsidR="00F87C66">
        <w:rPr>
          <w:rFonts w:ascii="Arial" w:hAnsi="Arial" w:cs="Arial"/>
          <w:sz w:val="20"/>
          <w:szCs w:val="20"/>
        </w:rPr>
        <w:t xml:space="preserve"> na podstawie odrębnych ustaw w celu wykonywania zadań publicznych</w:t>
      </w:r>
      <w:r w:rsidR="00335226">
        <w:rPr>
          <w:rFonts w:ascii="Arial" w:hAnsi="Arial" w:cs="Arial"/>
          <w:sz w:val="20"/>
          <w:szCs w:val="20"/>
        </w:rPr>
        <w:t xml:space="preserve"> z </w:t>
      </w:r>
      <w:r w:rsidR="00F87C66">
        <w:rPr>
          <w:rFonts w:ascii="Arial" w:hAnsi="Arial" w:cs="Arial"/>
          <w:sz w:val="20"/>
          <w:szCs w:val="20"/>
        </w:rPr>
        <w:t>wyłączeniem przedsiębiorstw, banków i spółek prawa handlowego</w:t>
      </w:r>
      <w:r>
        <w:rPr>
          <w:rFonts w:ascii="Arial" w:hAnsi="Arial" w:cs="Arial"/>
          <w:sz w:val="20"/>
          <w:szCs w:val="20"/>
        </w:rPr>
        <w:t>,</w:t>
      </w:r>
    </w:p>
    <w:p w:rsidR="00F87C66" w:rsidRDefault="0056083F" w:rsidP="00F87C66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42CD7">
        <w:rPr>
          <w:rFonts w:ascii="Arial" w:hAnsi="Arial" w:cs="Arial"/>
          <w:sz w:val="20"/>
          <w:szCs w:val="20"/>
        </w:rPr>
        <w:t>pół</w:t>
      </w:r>
      <w:r w:rsidR="00335226">
        <w:rPr>
          <w:rFonts w:ascii="Arial" w:hAnsi="Arial" w:cs="Arial"/>
          <w:sz w:val="20"/>
          <w:szCs w:val="20"/>
        </w:rPr>
        <w:t>e</w:t>
      </w:r>
      <w:r w:rsidR="00F87C66">
        <w:rPr>
          <w:rFonts w:ascii="Arial" w:hAnsi="Arial" w:cs="Arial"/>
          <w:sz w:val="20"/>
          <w:szCs w:val="20"/>
        </w:rPr>
        <w:t xml:space="preserve">k prawa handlowego, w których jednostka dominująca posiada powyżej 50 % całkowitej liczby głosów </w:t>
      </w:r>
      <w:r w:rsidR="0091558C">
        <w:rPr>
          <w:rFonts w:ascii="Arial" w:hAnsi="Arial" w:cs="Arial"/>
          <w:sz w:val="20"/>
          <w:szCs w:val="20"/>
        </w:rPr>
        <w:t>lub</w:t>
      </w:r>
      <w:r w:rsidR="00BB5CCD">
        <w:rPr>
          <w:rFonts w:ascii="Arial" w:hAnsi="Arial" w:cs="Arial"/>
          <w:sz w:val="20"/>
          <w:szCs w:val="20"/>
        </w:rPr>
        <w:t xml:space="preserve"> udziałów </w:t>
      </w:r>
      <w:r w:rsidR="00F87C66">
        <w:rPr>
          <w:rFonts w:ascii="Arial" w:hAnsi="Arial" w:cs="Arial"/>
          <w:sz w:val="20"/>
          <w:szCs w:val="20"/>
        </w:rPr>
        <w:t>w organach jednostki, uprawniona jest do podejmo</w:t>
      </w:r>
      <w:r w:rsidR="00FD6E48">
        <w:rPr>
          <w:rFonts w:ascii="Arial" w:hAnsi="Arial" w:cs="Arial"/>
          <w:sz w:val="20"/>
          <w:szCs w:val="20"/>
        </w:rPr>
        <w:t>wania samodzielnych decyzji o po</w:t>
      </w:r>
      <w:r w:rsidR="00F87C66">
        <w:rPr>
          <w:rFonts w:ascii="Arial" w:hAnsi="Arial" w:cs="Arial"/>
          <w:sz w:val="20"/>
          <w:szCs w:val="20"/>
        </w:rPr>
        <w:t>lityce finansowe</w:t>
      </w:r>
      <w:r w:rsidR="00BB5CCD">
        <w:rPr>
          <w:rFonts w:ascii="Arial" w:hAnsi="Arial" w:cs="Arial"/>
          <w:sz w:val="20"/>
          <w:szCs w:val="20"/>
        </w:rPr>
        <w:t>j i bieżącej oraz powoływania</w:t>
      </w:r>
      <w:r w:rsidR="00FD6E48">
        <w:rPr>
          <w:rFonts w:ascii="Arial" w:hAnsi="Arial" w:cs="Arial"/>
          <w:sz w:val="20"/>
          <w:szCs w:val="20"/>
        </w:rPr>
        <w:t xml:space="preserve"> </w:t>
      </w:r>
      <w:r w:rsidR="00F87C66">
        <w:rPr>
          <w:rFonts w:ascii="Arial" w:hAnsi="Arial" w:cs="Arial"/>
          <w:sz w:val="20"/>
          <w:szCs w:val="20"/>
        </w:rPr>
        <w:t>i odwoływania większości członków organów zarządzających tymi jednostkami na podstawie statutu lub umowy.</w:t>
      </w:r>
    </w:p>
    <w:p w:rsidR="006A0394" w:rsidRPr="006A0394" w:rsidRDefault="006A0394" w:rsidP="006A039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0394">
        <w:rPr>
          <w:rFonts w:ascii="Arial" w:hAnsi="Arial" w:cs="Arial"/>
          <w:sz w:val="20"/>
          <w:szCs w:val="20"/>
        </w:rPr>
        <w:t>Konsolidacji podlegają bilanse sporządzone na dzień kończący rok obrotowy, tj. na dzień 31 grudnia</w:t>
      </w:r>
      <w:r>
        <w:rPr>
          <w:rFonts w:ascii="Arial" w:hAnsi="Arial" w:cs="Arial"/>
          <w:sz w:val="20"/>
          <w:szCs w:val="20"/>
        </w:rPr>
        <w:t>.</w:t>
      </w:r>
    </w:p>
    <w:p w:rsidR="0056083F" w:rsidRDefault="0056083F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jednostek</w:t>
      </w:r>
      <w:r w:rsidR="00E355C6">
        <w:rPr>
          <w:rFonts w:ascii="Arial" w:hAnsi="Arial" w:cs="Arial"/>
          <w:sz w:val="20"/>
          <w:szCs w:val="20"/>
        </w:rPr>
        <w:t xml:space="preserve"> wchodzących w skład grupy kapitałowej</w:t>
      </w:r>
      <w:r>
        <w:rPr>
          <w:rFonts w:ascii="Arial" w:hAnsi="Arial" w:cs="Arial"/>
          <w:sz w:val="20"/>
          <w:szCs w:val="20"/>
        </w:rPr>
        <w:t xml:space="preserve"> stanowi załącznik nr 1 do niniejszej instrukcji.</w:t>
      </w:r>
      <w:r w:rsidR="00A9500F">
        <w:rPr>
          <w:rFonts w:ascii="Arial" w:hAnsi="Arial" w:cs="Arial"/>
          <w:sz w:val="20"/>
          <w:szCs w:val="20"/>
        </w:rPr>
        <w:t xml:space="preserve"> Aktualny wykaz jednostek publikowany będzie na stronie BIP Województwa Zachodniopomorskiego, ścieżka</w:t>
      </w:r>
      <w:r w:rsidR="004F0795">
        <w:rPr>
          <w:rFonts w:ascii="Arial" w:hAnsi="Arial" w:cs="Arial"/>
          <w:sz w:val="20"/>
          <w:szCs w:val="20"/>
        </w:rPr>
        <w:t>: kategoria „Finanse i mienie”, podkategoria „Wykaz jednostek grupy kapitałowej Województwa Zachodniopomorskiego”.</w:t>
      </w:r>
    </w:p>
    <w:p w:rsidR="007562FC" w:rsidRPr="003C0505" w:rsidRDefault="0091558C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Jednostki wchodzące w skład</w:t>
      </w:r>
      <w:r w:rsidR="00D83D82" w:rsidRPr="003C0505">
        <w:rPr>
          <w:rFonts w:ascii="Arial" w:hAnsi="Arial" w:cs="Arial"/>
          <w:sz w:val="20"/>
          <w:szCs w:val="20"/>
        </w:rPr>
        <w:t xml:space="preserve"> grupy kapitałowej</w:t>
      </w:r>
      <w:r w:rsidR="004922A6" w:rsidRPr="003C0505">
        <w:rPr>
          <w:rFonts w:ascii="Arial" w:hAnsi="Arial" w:cs="Arial"/>
          <w:sz w:val="20"/>
          <w:szCs w:val="20"/>
        </w:rPr>
        <w:t xml:space="preserve"> składają</w:t>
      </w:r>
      <w:r w:rsidR="00D83D82" w:rsidRPr="003C0505">
        <w:rPr>
          <w:rFonts w:ascii="Arial" w:hAnsi="Arial" w:cs="Arial"/>
          <w:sz w:val="20"/>
          <w:szCs w:val="20"/>
        </w:rPr>
        <w:t xml:space="preserve"> sprawozdania finansowe wraz</w:t>
      </w:r>
      <w:r w:rsidR="004922A6" w:rsidRPr="003C0505">
        <w:rPr>
          <w:rFonts w:ascii="Arial" w:hAnsi="Arial" w:cs="Arial"/>
          <w:sz w:val="20"/>
          <w:szCs w:val="20"/>
        </w:rPr>
        <w:t xml:space="preserve"> z informacją </w:t>
      </w:r>
      <w:r w:rsidR="005662AA">
        <w:rPr>
          <w:rFonts w:ascii="Arial" w:hAnsi="Arial" w:cs="Arial"/>
          <w:sz w:val="20"/>
          <w:szCs w:val="20"/>
        </w:rPr>
        <w:t>uzupełniającą</w:t>
      </w:r>
      <w:r w:rsidR="004922A6" w:rsidRPr="003C0505">
        <w:rPr>
          <w:rFonts w:ascii="Arial" w:hAnsi="Arial" w:cs="Arial"/>
          <w:sz w:val="20"/>
          <w:szCs w:val="20"/>
        </w:rPr>
        <w:t xml:space="preserve"> </w:t>
      </w:r>
      <w:r w:rsidR="00D83D82" w:rsidRPr="003C0505">
        <w:rPr>
          <w:rFonts w:ascii="Arial" w:hAnsi="Arial" w:cs="Arial"/>
          <w:sz w:val="20"/>
          <w:szCs w:val="20"/>
        </w:rPr>
        <w:t xml:space="preserve">Zarządowi za pośrednictwem </w:t>
      </w:r>
      <w:r w:rsidR="00537C57">
        <w:rPr>
          <w:rFonts w:ascii="Arial" w:hAnsi="Arial" w:cs="Arial"/>
          <w:sz w:val="20"/>
          <w:szCs w:val="20"/>
        </w:rPr>
        <w:t>W</w:t>
      </w:r>
      <w:r w:rsidR="00D83D82" w:rsidRPr="003C0505">
        <w:rPr>
          <w:rFonts w:ascii="Arial" w:hAnsi="Arial" w:cs="Arial"/>
          <w:sz w:val="20"/>
          <w:szCs w:val="20"/>
        </w:rPr>
        <w:t>ydziałów</w:t>
      </w:r>
      <w:r w:rsidR="001E0856">
        <w:rPr>
          <w:rFonts w:ascii="Arial" w:hAnsi="Arial" w:cs="Arial"/>
          <w:sz w:val="20"/>
          <w:szCs w:val="20"/>
        </w:rPr>
        <w:t>, w terminie do 31 marca roku następnego.</w:t>
      </w:r>
    </w:p>
    <w:p w:rsidR="00D83D82" w:rsidRDefault="00366BA6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9772C7">
        <w:rPr>
          <w:rFonts w:ascii="Arial" w:hAnsi="Arial" w:cs="Arial"/>
          <w:sz w:val="20"/>
          <w:szCs w:val="20"/>
        </w:rPr>
        <w:t>ydziały</w:t>
      </w:r>
      <w:r>
        <w:rPr>
          <w:rFonts w:ascii="Arial" w:hAnsi="Arial" w:cs="Arial"/>
          <w:sz w:val="20"/>
          <w:szCs w:val="20"/>
        </w:rPr>
        <w:t xml:space="preserve"> </w:t>
      </w:r>
      <w:r w:rsidR="009772C7">
        <w:rPr>
          <w:rFonts w:ascii="Arial" w:hAnsi="Arial" w:cs="Arial"/>
          <w:sz w:val="20"/>
          <w:szCs w:val="20"/>
        </w:rPr>
        <w:t>przekazują sprawozdania finansowe jed</w:t>
      </w:r>
      <w:r w:rsidR="00705492">
        <w:rPr>
          <w:rFonts w:ascii="Arial" w:hAnsi="Arial" w:cs="Arial"/>
          <w:sz w:val="20"/>
          <w:szCs w:val="20"/>
        </w:rPr>
        <w:t xml:space="preserve">nostek wraz z informacją </w:t>
      </w:r>
      <w:r w:rsidR="005662AA">
        <w:rPr>
          <w:rFonts w:ascii="Arial" w:hAnsi="Arial" w:cs="Arial"/>
          <w:sz w:val="20"/>
          <w:szCs w:val="20"/>
        </w:rPr>
        <w:t>uzupełniającą</w:t>
      </w:r>
      <w:r w:rsidR="009772C7">
        <w:rPr>
          <w:rFonts w:ascii="Arial" w:hAnsi="Arial" w:cs="Arial"/>
          <w:sz w:val="20"/>
          <w:szCs w:val="20"/>
        </w:rPr>
        <w:t xml:space="preserve"> do Wydziału Finansów i Budżetu </w:t>
      </w:r>
      <w:r w:rsidR="00705492">
        <w:rPr>
          <w:rFonts w:ascii="Arial" w:hAnsi="Arial" w:cs="Arial"/>
          <w:sz w:val="20"/>
          <w:szCs w:val="20"/>
        </w:rPr>
        <w:t xml:space="preserve">Urzędu Marszałkowskiego </w:t>
      </w:r>
      <w:r w:rsidR="009772C7">
        <w:rPr>
          <w:rFonts w:ascii="Arial" w:hAnsi="Arial" w:cs="Arial"/>
          <w:sz w:val="20"/>
          <w:szCs w:val="20"/>
        </w:rPr>
        <w:t>w terminie nie później niż do 30 kwietnia roku następnego.</w:t>
      </w:r>
    </w:p>
    <w:p w:rsidR="009772C7" w:rsidRDefault="00D37D9C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335A5">
        <w:rPr>
          <w:rFonts w:ascii="Arial" w:hAnsi="Arial" w:cs="Arial"/>
          <w:sz w:val="20"/>
          <w:szCs w:val="20"/>
        </w:rPr>
        <w:t xml:space="preserve">orekty sprawozdań finansowych </w:t>
      </w:r>
      <w:r w:rsidR="00CE44C9">
        <w:rPr>
          <w:rFonts w:ascii="Arial" w:hAnsi="Arial" w:cs="Arial"/>
          <w:sz w:val="20"/>
          <w:szCs w:val="20"/>
        </w:rPr>
        <w:t xml:space="preserve">lub informacji uzupełniających </w:t>
      </w:r>
      <w:r w:rsidR="00A178AA">
        <w:rPr>
          <w:rFonts w:ascii="Arial" w:hAnsi="Arial" w:cs="Arial"/>
          <w:sz w:val="20"/>
          <w:szCs w:val="20"/>
        </w:rPr>
        <w:t xml:space="preserve"> </w:t>
      </w:r>
      <w:r w:rsidR="0091558C">
        <w:rPr>
          <w:rFonts w:ascii="Arial" w:hAnsi="Arial" w:cs="Arial"/>
          <w:sz w:val="20"/>
          <w:szCs w:val="20"/>
        </w:rPr>
        <w:t>jednostki</w:t>
      </w:r>
      <w:r w:rsidR="0055241C">
        <w:rPr>
          <w:rFonts w:ascii="Arial" w:hAnsi="Arial" w:cs="Arial"/>
          <w:sz w:val="20"/>
          <w:szCs w:val="20"/>
        </w:rPr>
        <w:t xml:space="preserve"> przekazują</w:t>
      </w:r>
      <w:r>
        <w:rPr>
          <w:rFonts w:ascii="Arial" w:hAnsi="Arial" w:cs="Arial"/>
          <w:sz w:val="20"/>
          <w:szCs w:val="20"/>
        </w:rPr>
        <w:t xml:space="preserve"> niezwłocznie</w:t>
      </w:r>
      <w:r w:rsidR="0055241C">
        <w:rPr>
          <w:rFonts w:ascii="Arial" w:hAnsi="Arial" w:cs="Arial"/>
          <w:sz w:val="20"/>
          <w:szCs w:val="20"/>
        </w:rPr>
        <w:t xml:space="preserve"> do </w:t>
      </w:r>
      <w:r w:rsidR="002335A5">
        <w:rPr>
          <w:rFonts w:ascii="Arial" w:hAnsi="Arial" w:cs="Arial"/>
          <w:sz w:val="20"/>
          <w:szCs w:val="20"/>
        </w:rPr>
        <w:t xml:space="preserve">nadzorujących </w:t>
      </w:r>
      <w:r w:rsidR="00537C57">
        <w:rPr>
          <w:rFonts w:ascii="Arial" w:hAnsi="Arial" w:cs="Arial"/>
          <w:sz w:val="20"/>
          <w:szCs w:val="20"/>
        </w:rPr>
        <w:t>W</w:t>
      </w:r>
      <w:r w:rsidR="0055241C">
        <w:rPr>
          <w:rFonts w:ascii="Arial" w:hAnsi="Arial" w:cs="Arial"/>
          <w:sz w:val="20"/>
          <w:szCs w:val="20"/>
        </w:rPr>
        <w:t>ydziałów</w:t>
      </w:r>
      <w:r w:rsidR="00537C57">
        <w:rPr>
          <w:rFonts w:ascii="Arial" w:hAnsi="Arial" w:cs="Arial"/>
          <w:sz w:val="20"/>
          <w:szCs w:val="20"/>
        </w:rPr>
        <w:t>, a W</w:t>
      </w:r>
      <w:r w:rsidR="0055241C">
        <w:rPr>
          <w:rFonts w:ascii="Arial" w:hAnsi="Arial" w:cs="Arial"/>
          <w:sz w:val="20"/>
          <w:szCs w:val="20"/>
        </w:rPr>
        <w:t>ydziały do Wyd</w:t>
      </w:r>
      <w:r>
        <w:rPr>
          <w:rFonts w:ascii="Arial" w:hAnsi="Arial" w:cs="Arial"/>
          <w:sz w:val="20"/>
          <w:szCs w:val="20"/>
        </w:rPr>
        <w:t>ziału Finansów</w:t>
      </w:r>
      <w:r w:rsidR="0055241C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B</w:t>
      </w:r>
      <w:r w:rsidR="0055241C">
        <w:rPr>
          <w:rFonts w:ascii="Arial" w:hAnsi="Arial" w:cs="Arial"/>
          <w:sz w:val="20"/>
          <w:szCs w:val="20"/>
        </w:rPr>
        <w:t>udżetu bez zbędnej zwłoki, w terminie umożliwiającym prawidłowe sporządzenie bilansu skonsolidowanego Województwa Zachodniopomorskiego.</w:t>
      </w:r>
    </w:p>
    <w:p w:rsidR="006723B2" w:rsidRDefault="006723B2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Wydziały przekazują do Wydziału Fina</w:t>
      </w:r>
      <w:r w:rsidR="00537C57">
        <w:rPr>
          <w:rFonts w:ascii="Arial" w:hAnsi="Arial" w:cs="Arial"/>
          <w:sz w:val="20"/>
          <w:szCs w:val="20"/>
        </w:rPr>
        <w:t xml:space="preserve">nsów </w:t>
      </w:r>
      <w:r>
        <w:rPr>
          <w:rFonts w:ascii="Arial" w:hAnsi="Arial" w:cs="Arial"/>
          <w:sz w:val="20"/>
          <w:szCs w:val="20"/>
        </w:rPr>
        <w:t>i Budżetu</w:t>
      </w:r>
      <w:r w:rsidR="00347E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terminie nie później niż do </w:t>
      </w:r>
      <w:r w:rsidR="00537C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31 stycznia roku następnego</w:t>
      </w:r>
      <w:r w:rsidR="00347E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wykaz zmian  w nadzorowanych jednostkach wchodzących w skład grupy kapitałowej oraz </w:t>
      </w:r>
      <w:r w:rsidR="00DB4C00">
        <w:rPr>
          <w:rFonts w:ascii="Arial" w:hAnsi="Arial" w:cs="Arial"/>
          <w:sz w:val="20"/>
          <w:szCs w:val="20"/>
        </w:rPr>
        <w:t xml:space="preserve">wykaz </w:t>
      </w:r>
      <w:r>
        <w:rPr>
          <w:rFonts w:ascii="Arial" w:hAnsi="Arial" w:cs="Arial"/>
          <w:sz w:val="20"/>
          <w:szCs w:val="20"/>
        </w:rPr>
        <w:t>całkowitej liczby głosów</w:t>
      </w:r>
      <w:r w:rsidR="00DB4C00">
        <w:rPr>
          <w:rFonts w:ascii="Arial" w:hAnsi="Arial" w:cs="Arial"/>
          <w:sz w:val="20"/>
          <w:szCs w:val="20"/>
        </w:rPr>
        <w:t xml:space="preserve"> w organach danej jednostki</w:t>
      </w:r>
      <w:r>
        <w:rPr>
          <w:rFonts w:ascii="Arial" w:hAnsi="Arial" w:cs="Arial"/>
          <w:sz w:val="20"/>
          <w:szCs w:val="20"/>
        </w:rPr>
        <w:t xml:space="preserve"> </w:t>
      </w:r>
      <w:r w:rsidR="00F75C3C">
        <w:rPr>
          <w:rFonts w:ascii="Arial" w:hAnsi="Arial" w:cs="Arial"/>
          <w:sz w:val="20"/>
          <w:szCs w:val="20"/>
        </w:rPr>
        <w:br/>
      </w:r>
      <w:r w:rsidR="00DB4C00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udziałów jakie Województ</w:t>
      </w:r>
      <w:r w:rsidR="00DB4C00">
        <w:rPr>
          <w:rFonts w:ascii="Arial" w:hAnsi="Arial" w:cs="Arial"/>
          <w:sz w:val="20"/>
          <w:szCs w:val="20"/>
        </w:rPr>
        <w:t>wo Zachodniopomorskie posiada w tej</w:t>
      </w:r>
      <w:r w:rsidR="0091558C">
        <w:rPr>
          <w:rFonts w:ascii="Arial" w:hAnsi="Arial" w:cs="Arial"/>
          <w:sz w:val="20"/>
          <w:szCs w:val="20"/>
        </w:rPr>
        <w:t xml:space="preserve"> jednostce (wg stanu na dzień 31 grudnia).</w:t>
      </w:r>
    </w:p>
    <w:p w:rsidR="002E555C" w:rsidRDefault="002E555C" w:rsidP="0056083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Konsolidacją nie obejmuje się jednostki</w:t>
      </w:r>
      <w:r w:rsidR="00891DA5">
        <w:rPr>
          <w:rFonts w:ascii="Arial" w:hAnsi="Arial" w:cs="Arial"/>
          <w:sz w:val="20"/>
          <w:szCs w:val="20"/>
        </w:rPr>
        <w:t xml:space="preserve"> </w:t>
      </w:r>
      <w:r w:rsidR="00117DB1">
        <w:rPr>
          <w:rFonts w:ascii="Arial" w:hAnsi="Arial" w:cs="Arial"/>
          <w:sz w:val="20"/>
          <w:szCs w:val="20"/>
        </w:rPr>
        <w:t>(za wyjątkiem grupy samo</w:t>
      </w:r>
      <w:r w:rsidR="00891DA5">
        <w:rPr>
          <w:rFonts w:ascii="Arial" w:hAnsi="Arial" w:cs="Arial"/>
          <w:sz w:val="20"/>
          <w:szCs w:val="20"/>
        </w:rPr>
        <w:t xml:space="preserve">rządowych jednostek </w:t>
      </w:r>
      <w:r w:rsidR="0091558C">
        <w:rPr>
          <w:rFonts w:ascii="Arial" w:hAnsi="Arial" w:cs="Arial"/>
          <w:sz w:val="20"/>
          <w:szCs w:val="20"/>
        </w:rPr>
        <w:t>budżetowych</w:t>
      </w:r>
      <w:r w:rsidR="00A178AA">
        <w:rPr>
          <w:rFonts w:ascii="Arial" w:hAnsi="Arial" w:cs="Arial"/>
          <w:sz w:val="20"/>
          <w:szCs w:val="20"/>
        </w:rPr>
        <w:t xml:space="preserve"> i samorządowych zakładów budżetowych</w:t>
      </w:r>
      <w:r w:rsidR="00891DA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która:</w:t>
      </w:r>
    </w:p>
    <w:p w:rsidR="002E555C" w:rsidRDefault="00117DB1" w:rsidP="002E555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2E555C">
        <w:rPr>
          <w:rFonts w:ascii="Arial" w:hAnsi="Arial" w:cs="Arial"/>
          <w:sz w:val="20"/>
          <w:szCs w:val="20"/>
        </w:rPr>
        <w:t>ozpoczęła działalność w drugiej połowie roku obrotowego, będącego rokiem obro</w:t>
      </w:r>
      <w:r>
        <w:rPr>
          <w:rFonts w:ascii="Arial" w:hAnsi="Arial" w:cs="Arial"/>
          <w:sz w:val="20"/>
          <w:szCs w:val="20"/>
        </w:rPr>
        <w:t>towym jednostki dominującej i łą</w:t>
      </w:r>
      <w:r w:rsidR="002E555C">
        <w:rPr>
          <w:rFonts w:ascii="Arial" w:hAnsi="Arial" w:cs="Arial"/>
          <w:sz w:val="20"/>
          <w:szCs w:val="20"/>
        </w:rPr>
        <w:t>czy swoje księgi rachunkowe i sprawozdanie finansowe za ten okres z księgami rachunkowymi i sprawozda</w:t>
      </w:r>
      <w:r>
        <w:rPr>
          <w:rFonts w:ascii="Arial" w:hAnsi="Arial" w:cs="Arial"/>
          <w:sz w:val="20"/>
          <w:szCs w:val="20"/>
        </w:rPr>
        <w:t>niem finansowym za rok następny,</w:t>
      </w:r>
    </w:p>
    <w:p w:rsidR="002E555C" w:rsidRPr="002E555C" w:rsidRDefault="00117DB1" w:rsidP="002E555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E555C">
        <w:rPr>
          <w:rFonts w:ascii="Arial" w:hAnsi="Arial" w:cs="Arial"/>
          <w:sz w:val="20"/>
          <w:szCs w:val="20"/>
        </w:rPr>
        <w:t>akończyła</w:t>
      </w:r>
      <w:r>
        <w:rPr>
          <w:rFonts w:ascii="Arial" w:hAnsi="Arial" w:cs="Arial"/>
          <w:sz w:val="20"/>
          <w:szCs w:val="20"/>
        </w:rPr>
        <w:t xml:space="preserve"> działalność w trakcie roku obejmowanego konsolidacją.</w:t>
      </w:r>
    </w:p>
    <w:p w:rsidR="002E555C" w:rsidRDefault="00117DB1" w:rsidP="00117DB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Bilanse jednostek, o których mowa w § 2 pkt</w:t>
      </w:r>
      <w:r w:rsidR="00FE26A3">
        <w:rPr>
          <w:rFonts w:ascii="Arial" w:hAnsi="Arial" w:cs="Arial"/>
          <w:sz w:val="20"/>
          <w:szCs w:val="20"/>
        </w:rPr>
        <w:t xml:space="preserve"> 10</w:t>
      </w:r>
      <w:r>
        <w:rPr>
          <w:rFonts w:ascii="Arial" w:hAnsi="Arial" w:cs="Arial"/>
          <w:sz w:val="20"/>
          <w:szCs w:val="20"/>
        </w:rPr>
        <w:t xml:space="preserve"> zostaną skonsolidowane metodą konsolidacji pełnej, o której mowa w art. 60 ust</w:t>
      </w:r>
      <w:r w:rsidR="00891DA5">
        <w:rPr>
          <w:rFonts w:ascii="Arial" w:hAnsi="Arial" w:cs="Arial"/>
          <w:sz w:val="20"/>
          <w:szCs w:val="20"/>
        </w:rPr>
        <w:t>awy o rachunkowości, polegającą</w:t>
      </w:r>
      <w:r>
        <w:rPr>
          <w:rFonts w:ascii="Arial" w:hAnsi="Arial" w:cs="Arial"/>
          <w:sz w:val="20"/>
          <w:szCs w:val="20"/>
        </w:rPr>
        <w:t xml:space="preserve"> na sumowaniu w pełnej wartości</w:t>
      </w:r>
      <w:r w:rsidR="00EA2DA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poszczególnych pozycji bilansów jednostki dominującej </w:t>
      </w:r>
      <w:r w:rsidR="0091558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jednost</w:t>
      </w:r>
      <w:r w:rsidR="00EA2DAE">
        <w:rPr>
          <w:rFonts w:ascii="Arial" w:hAnsi="Arial" w:cs="Arial"/>
          <w:sz w:val="20"/>
          <w:szCs w:val="20"/>
        </w:rPr>
        <w:t>ek podporządkowanych</w:t>
      </w:r>
      <w:r>
        <w:rPr>
          <w:rFonts w:ascii="Arial" w:hAnsi="Arial" w:cs="Arial"/>
          <w:sz w:val="20"/>
          <w:szCs w:val="20"/>
        </w:rPr>
        <w:t xml:space="preserve"> oraz dokonaniu wyłączeń i korekt konsolidacyjnych.</w:t>
      </w:r>
    </w:p>
    <w:p w:rsidR="00117DB1" w:rsidRDefault="00FB2D9A" w:rsidP="00117DB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konsolidacji podlegają wyłączeniu:</w:t>
      </w:r>
    </w:p>
    <w:p w:rsidR="0091558C" w:rsidRPr="00B7135E" w:rsidRDefault="0029297F" w:rsidP="00FB2D9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wyrażona w cenie nabycia wartość udziałów posiadanych przez jednostkę dominującą                i inne jednostki objęte konsolidacją w jednostkach zależnych, z tą częścią aktywów netto jednostek zależnych wycenionych według wartości godziwej, </w:t>
      </w:r>
      <w:r w:rsidR="00B7135E">
        <w:rPr>
          <w:rFonts w:ascii="Arial" w:hAnsi="Arial" w:cs="Arial"/>
          <w:sz w:val="20"/>
          <w:szCs w:val="20"/>
        </w:rPr>
        <w:t>która odpowiada</w:t>
      </w:r>
      <w:r>
        <w:rPr>
          <w:rFonts w:ascii="Arial" w:hAnsi="Arial" w:cs="Arial"/>
          <w:sz w:val="20"/>
          <w:szCs w:val="20"/>
        </w:rPr>
        <w:t xml:space="preserve"> udziałowi </w:t>
      </w:r>
      <w:r>
        <w:rPr>
          <w:rFonts w:ascii="Arial" w:hAnsi="Arial" w:cs="Arial"/>
          <w:sz w:val="20"/>
          <w:szCs w:val="20"/>
        </w:rPr>
        <w:lastRenderedPageBreak/>
        <w:t>jednostki dominującej i innych jednostek objętych konsolidacją</w:t>
      </w:r>
      <w:r w:rsidRPr="00B7135E">
        <w:rPr>
          <w:rFonts w:ascii="Arial" w:hAnsi="Arial" w:cs="Arial"/>
          <w:i/>
          <w:sz w:val="20"/>
          <w:szCs w:val="20"/>
        </w:rPr>
        <w:t xml:space="preserve">, </w:t>
      </w:r>
      <w:r w:rsidRPr="00B7135E">
        <w:rPr>
          <w:rFonts w:ascii="Arial" w:hAnsi="Arial" w:cs="Arial"/>
          <w:sz w:val="20"/>
          <w:szCs w:val="20"/>
        </w:rPr>
        <w:t>na dzień rozpoczęcia sprawowania nad nimi kontroli</w:t>
      </w:r>
      <w:r w:rsidR="006F2B3F" w:rsidRPr="00B7135E">
        <w:rPr>
          <w:rFonts w:ascii="Arial" w:hAnsi="Arial" w:cs="Arial"/>
          <w:sz w:val="20"/>
          <w:szCs w:val="20"/>
        </w:rPr>
        <w:t>.</w:t>
      </w:r>
    </w:p>
    <w:p w:rsidR="006F2B3F" w:rsidRDefault="006F2B3F" w:rsidP="006F2B3F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w wyniku tego wyłączenia powstaje różnica to:</w:t>
      </w:r>
    </w:p>
    <w:p w:rsidR="008E7856" w:rsidRDefault="008E7856" w:rsidP="00571DC3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różnica dodatnia</w:t>
      </w:r>
      <w:r w:rsidR="00B71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uznawana jest za wartość firmy i wykazywana w aktywach skonsolidowanego bilansu w pozycji „Wartość firmy jednostek podporządkowanych”,</w:t>
      </w:r>
    </w:p>
    <w:p w:rsidR="008E7856" w:rsidRPr="008E7856" w:rsidRDefault="008E7856" w:rsidP="00571DC3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różnica ujemna</w:t>
      </w:r>
      <w:r w:rsidR="00B71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uznawana jest za ujemną wartość firmy i wykazywana                      w pasywach skonsolidowanego bilansu w pozycji „Ujemna wartość firmy jednostek podporządkowanych”,</w:t>
      </w:r>
    </w:p>
    <w:p w:rsidR="0029297F" w:rsidRDefault="0029297F" w:rsidP="00FB2D9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wzajemne należności i zobowiązania oraz inne rozrachunki o podobnym charakterze jednostek objętych konsolidacją.</w:t>
      </w:r>
    </w:p>
    <w:p w:rsidR="00FB2D9A" w:rsidRDefault="00A83D8A" w:rsidP="00117DB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Etapy sporządzania bilansu skonsolidowanego Województwa Zachodniopomorskiego:</w:t>
      </w:r>
    </w:p>
    <w:p w:rsidR="0018265D" w:rsidRDefault="0018265D" w:rsidP="0018265D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</w:t>
      </w:r>
      <w:r w:rsidR="00891DA5">
        <w:rPr>
          <w:rFonts w:ascii="Arial" w:hAnsi="Arial" w:cs="Arial"/>
          <w:sz w:val="20"/>
          <w:szCs w:val="20"/>
        </w:rPr>
        <w:t xml:space="preserve">bilansu jednostki dominującej </w:t>
      </w:r>
      <w:r w:rsidR="00995E14">
        <w:rPr>
          <w:rFonts w:ascii="Arial" w:hAnsi="Arial" w:cs="Arial"/>
          <w:sz w:val="20"/>
          <w:szCs w:val="20"/>
        </w:rPr>
        <w:t xml:space="preserve">na podstawie bilansu z wykonania budżetu województwa i łącznego bilansu jednostek budżetowych i zakładów budżetowych oraz dokonanie wyłączeń wzajemnych należności i zobowiązań oraz innych rozrachunków o podobnym charakterze. </w:t>
      </w:r>
    </w:p>
    <w:p w:rsidR="00EB0C38" w:rsidRDefault="00EB0C38" w:rsidP="00EB0C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cząstkow</w:t>
      </w:r>
      <w:r w:rsidR="00995E14">
        <w:rPr>
          <w:rFonts w:ascii="Arial" w:hAnsi="Arial" w:cs="Arial"/>
          <w:sz w:val="20"/>
          <w:szCs w:val="20"/>
        </w:rPr>
        <w:t>ych bilansów</w:t>
      </w:r>
      <w:r>
        <w:rPr>
          <w:rFonts w:ascii="Arial" w:hAnsi="Arial" w:cs="Arial"/>
          <w:sz w:val="20"/>
          <w:szCs w:val="20"/>
        </w:rPr>
        <w:t xml:space="preserve"> skonsolidowan</w:t>
      </w:r>
      <w:r w:rsidR="00995E14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 xml:space="preserve">dla </w:t>
      </w:r>
      <w:r w:rsidR="009346F4">
        <w:rPr>
          <w:rFonts w:ascii="Arial" w:hAnsi="Arial" w:cs="Arial"/>
          <w:sz w:val="20"/>
          <w:szCs w:val="20"/>
        </w:rPr>
        <w:t>grup</w:t>
      </w:r>
      <w:r w:rsidR="00995E14">
        <w:rPr>
          <w:rFonts w:ascii="Arial" w:hAnsi="Arial" w:cs="Arial"/>
          <w:sz w:val="20"/>
          <w:szCs w:val="20"/>
        </w:rPr>
        <w:t>:</w:t>
      </w:r>
      <w:r w:rsidR="009346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„Samodzielne publiczne zakłady opieki zdrowotnej”</w:t>
      </w:r>
      <w:r w:rsidR="00995E14">
        <w:rPr>
          <w:rFonts w:ascii="Arial" w:hAnsi="Arial" w:cs="Arial"/>
          <w:sz w:val="20"/>
          <w:szCs w:val="20"/>
        </w:rPr>
        <w:t>, „Samorządowe instytucje kultury”, „Samorządowe osoby pra</w:t>
      </w:r>
      <w:r w:rsidR="00900B41">
        <w:rPr>
          <w:rFonts w:ascii="Arial" w:hAnsi="Arial" w:cs="Arial"/>
          <w:sz w:val="20"/>
          <w:szCs w:val="20"/>
        </w:rPr>
        <w:t>wne”, „Spółki prawa handlowego” poprzez:</w:t>
      </w:r>
    </w:p>
    <w:p w:rsidR="00464F3F" w:rsidRDefault="00464F3F" w:rsidP="00464F3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sumowanie </w:t>
      </w:r>
      <w:r w:rsidR="00995B0E">
        <w:rPr>
          <w:rFonts w:ascii="Arial" w:hAnsi="Arial" w:cs="Arial"/>
          <w:sz w:val="20"/>
          <w:szCs w:val="20"/>
        </w:rPr>
        <w:t xml:space="preserve">poszczególnych </w:t>
      </w:r>
      <w:r>
        <w:rPr>
          <w:rFonts w:ascii="Arial" w:hAnsi="Arial" w:cs="Arial"/>
          <w:sz w:val="20"/>
          <w:szCs w:val="20"/>
        </w:rPr>
        <w:t>pozycji bilans</w:t>
      </w:r>
      <w:r w:rsidR="00995E14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jednostek</w:t>
      </w:r>
      <w:r w:rsidR="00995E14">
        <w:rPr>
          <w:rFonts w:ascii="Arial" w:hAnsi="Arial" w:cs="Arial"/>
          <w:sz w:val="20"/>
          <w:szCs w:val="20"/>
        </w:rPr>
        <w:t xml:space="preserve"> w grupach</w:t>
      </w:r>
      <w:r>
        <w:rPr>
          <w:rFonts w:ascii="Arial" w:hAnsi="Arial" w:cs="Arial"/>
          <w:sz w:val="20"/>
          <w:szCs w:val="20"/>
        </w:rPr>
        <w:t>,</w:t>
      </w:r>
    </w:p>
    <w:p w:rsidR="00464F3F" w:rsidRDefault="00464F3F" w:rsidP="00464F3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tabeli wyłączeń oraz korekt</w:t>
      </w:r>
      <w:r w:rsidR="00900B41">
        <w:rPr>
          <w:rFonts w:ascii="Arial" w:hAnsi="Arial" w:cs="Arial"/>
          <w:sz w:val="20"/>
          <w:szCs w:val="20"/>
        </w:rPr>
        <w:t xml:space="preserve"> dla poszczególnych grup</w:t>
      </w:r>
      <w:r>
        <w:rPr>
          <w:rFonts w:ascii="Arial" w:hAnsi="Arial" w:cs="Arial"/>
          <w:sz w:val="20"/>
          <w:szCs w:val="20"/>
        </w:rPr>
        <w:t>,</w:t>
      </w:r>
    </w:p>
    <w:p w:rsidR="00464F3F" w:rsidRDefault="00464F3F" w:rsidP="00464F3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skorygowanie zbiorczych pozycji bilansu o kwoty wzajemnych wyłączeń oraz korekt,</w:t>
      </w:r>
    </w:p>
    <w:p w:rsidR="00995B0E" w:rsidRDefault="00464F3F" w:rsidP="00464F3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cząstkowego bilansu skonsolidowanego </w:t>
      </w:r>
      <w:r w:rsidR="00995E14">
        <w:rPr>
          <w:rFonts w:ascii="Arial" w:hAnsi="Arial" w:cs="Arial"/>
          <w:sz w:val="20"/>
          <w:szCs w:val="20"/>
        </w:rPr>
        <w:t>danej grupy</w:t>
      </w:r>
      <w:r w:rsidR="00995B0E">
        <w:rPr>
          <w:rFonts w:ascii="Arial" w:hAnsi="Arial" w:cs="Arial"/>
          <w:sz w:val="20"/>
          <w:szCs w:val="20"/>
        </w:rPr>
        <w:t xml:space="preserve"> z uwzględnieniem następujących powiązań:</w:t>
      </w:r>
    </w:p>
    <w:p w:rsidR="00ED0FCD" w:rsidRDefault="00ED0FCD" w:rsidP="00ED0FCD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:rsidR="001365C6" w:rsidRPr="00995E14" w:rsidRDefault="00995B0E" w:rsidP="00995B0E">
      <w:pPr>
        <w:pStyle w:val="Akapitzlist"/>
        <w:ind w:left="14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95E14">
        <w:rPr>
          <w:rFonts w:ascii="Arial" w:hAnsi="Arial" w:cs="Arial"/>
          <w:b/>
          <w:sz w:val="20"/>
          <w:szCs w:val="20"/>
          <w:u w:val="single"/>
        </w:rPr>
        <w:t>Aktywa</w:t>
      </w:r>
    </w:p>
    <w:p w:rsidR="001365C6" w:rsidRDefault="001365C6" w:rsidP="001365C6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416" w:type="dxa"/>
        <w:tblLook w:val="04A0"/>
      </w:tblPr>
      <w:tblGrid>
        <w:gridCol w:w="3961"/>
        <w:gridCol w:w="3911"/>
      </w:tblGrid>
      <w:tr w:rsidR="007D2A02" w:rsidTr="007D2A02">
        <w:tc>
          <w:tcPr>
            <w:tcW w:w="4606" w:type="dxa"/>
          </w:tcPr>
          <w:p w:rsidR="007D2A02" w:rsidRDefault="007D2A02" w:rsidP="00974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Pozycje aktywów bilansu </w:t>
            </w:r>
            <w:r w:rsidR="00974F45">
              <w:rPr>
                <w:rFonts w:ascii="Arial" w:hAnsi="Arial" w:cs="Arial"/>
                <w:sz w:val="20"/>
                <w:szCs w:val="20"/>
              </w:rPr>
              <w:t>skonsolidowanego</w:t>
            </w:r>
          </w:p>
        </w:tc>
        <w:tc>
          <w:tcPr>
            <w:tcW w:w="4606" w:type="dxa"/>
          </w:tcPr>
          <w:p w:rsidR="007D2A02" w:rsidRDefault="007D2A02" w:rsidP="00974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Pozycje aktywów bilansu </w:t>
            </w:r>
            <w:r w:rsidR="00974F45">
              <w:rPr>
                <w:rFonts w:ascii="Arial" w:hAnsi="Arial" w:cs="Arial"/>
                <w:sz w:val="20"/>
                <w:szCs w:val="20"/>
              </w:rPr>
              <w:t>jednostek organizacyjnych</w:t>
            </w:r>
          </w:p>
        </w:tc>
      </w:tr>
      <w:tr w:rsidR="007D2A02" w:rsidTr="007D2A02">
        <w:tc>
          <w:tcPr>
            <w:tcW w:w="4606" w:type="dxa"/>
          </w:tcPr>
          <w:p w:rsidR="007D2A02" w:rsidRDefault="00974F45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A.III.1.3</w:t>
            </w:r>
          </w:p>
        </w:tc>
        <w:tc>
          <w:tcPr>
            <w:tcW w:w="4606" w:type="dxa"/>
          </w:tcPr>
          <w:p w:rsidR="007D2A02" w:rsidRDefault="00974F45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A.II.1 c-e</w:t>
            </w:r>
          </w:p>
        </w:tc>
      </w:tr>
      <w:tr w:rsidR="007D2A02" w:rsidTr="007D2A02">
        <w:tc>
          <w:tcPr>
            <w:tcW w:w="4606" w:type="dxa"/>
          </w:tcPr>
          <w:p w:rsidR="007D2A02" w:rsidRDefault="00974F45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A.V</w:t>
            </w:r>
          </w:p>
        </w:tc>
        <w:tc>
          <w:tcPr>
            <w:tcW w:w="4606" w:type="dxa"/>
          </w:tcPr>
          <w:p w:rsidR="007D2A02" w:rsidRDefault="00974F45" w:rsidP="004F7F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A.III; A.IV.3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a,b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tiret trzecie; </w:t>
            </w:r>
          </w:p>
        </w:tc>
      </w:tr>
      <w:tr w:rsidR="007D2A02" w:rsidTr="007D2A02">
        <w:tc>
          <w:tcPr>
            <w:tcW w:w="4606" w:type="dxa"/>
          </w:tcPr>
          <w:p w:rsidR="007D2A02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B.III</w:t>
            </w:r>
          </w:p>
        </w:tc>
        <w:tc>
          <w:tcPr>
            <w:tcW w:w="4606" w:type="dxa"/>
          </w:tcPr>
          <w:p w:rsidR="007D2A02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B.III.1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a,b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tiret trzecie i czwarte</w:t>
            </w:r>
          </w:p>
        </w:tc>
      </w:tr>
      <w:tr w:rsidR="007D2A02" w:rsidTr="007D2A02">
        <w:tc>
          <w:tcPr>
            <w:tcW w:w="4606" w:type="dxa"/>
          </w:tcPr>
          <w:p w:rsidR="007D2A02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B.IV</w:t>
            </w:r>
          </w:p>
        </w:tc>
        <w:tc>
          <w:tcPr>
            <w:tcW w:w="4606" w:type="dxa"/>
          </w:tcPr>
          <w:p w:rsidR="007D2A02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B.III.1.c</w:t>
            </w:r>
          </w:p>
        </w:tc>
      </w:tr>
      <w:tr w:rsidR="006B4A08" w:rsidTr="007D2A02">
        <w:tc>
          <w:tcPr>
            <w:tcW w:w="4606" w:type="dxa"/>
          </w:tcPr>
          <w:p w:rsidR="006B4A08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B.V</w:t>
            </w:r>
          </w:p>
        </w:tc>
        <w:tc>
          <w:tcPr>
            <w:tcW w:w="4606" w:type="dxa"/>
          </w:tcPr>
          <w:p w:rsidR="006B4A08" w:rsidRDefault="006B4A08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B.III.1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a,b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tiret pierwsze i drugie; B.III.2</w:t>
            </w:r>
          </w:p>
        </w:tc>
      </w:tr>
      <w:tr w:rsidR="004F7F8C" w:rsidTr="007D2A02">
        <w:tc>
          <w:tcPr>
            <w:tcW w:w="4606" w:type="dxa"/>
          </w:tcPr>
          <w:p w:rsidR="004F7F8C" w:rsidRDefault="004F7F8C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606" w:type="dxa"/>
          </w:tcPr>
          <w:p w:rsidR="004F7F8C" w:rsidRDefault="004F7F8C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A.V; B.IV</w:t>
            </w:r>
          </w:p>
        </w:tc>
      </w:tr>
    </w:tbl>
    <w:p w:rsidR="007D2A02" w:rsidRDefault="007D2A02" w:rsidP="001365C6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7D2A02" w:rsidRPr="00933F41" w:rsidRDefault="00933F41" w:rsidP="001365C6">
      <w:pPr>
        <w:spacing w:after="0" w:line="240" w:lineRule="auto"/>
        <w:ind w:left="141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33F41">
        <w:rPr>
          <w:rFonts w:ascii="Arial" w:hAnsi="Arial" w:cs="Arial"/>
          <w:b/>
          <w:sz w:val="20"/>
          <w:szCs w:val="20"/>
          <w:u w:val="single"/>
        </w:rPr>
        <w:t>Pasywa</w:t>
      </w:r>
    </w:p>
    <w:p w:rsidR="00933F41" w:rsidRDefault="00933F41" w:rsidP="001365C6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416" w:type="dxa"/>
        <w:tblLook w:val="04A0"/>
      </w:tblPr>
      <w:tblGrid>
        <w:gridCol w:w="3961"/>
        <w:gridCol w:w="3911"/>
      </w:tblGrid>
      <w:tr w:rsidR="00933F41" w:rsidTr="00933F41">
        <w:tc>
          <w:tcPr>
            <w:tcW w:w="4606" w:type="dxa"/>
          </w:tcPr>
          <w:p w:rsidR="00933F41" w:rsidRDefault="00933F41" w:rsidP="00933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Pozycje pasywów bilansu skonsolidowanego</w:t>
            </w:r>
          </w:p>
        </w:tc>
        <w:tc>
          <w:tcPr>
            <w:tcW w:w="4606" w:type="dxa"/>
          </w:tcPr>
          <w:p w:rsidR="00933F41" w:rsidRDefault="00933F41" w:rsidP="00933F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Pozycje pasywów bilansu jednostek organizacyjnych</w:t>
            </w:r>
          </w:p>
        </w:tc>
      </w:tr>
      <w:tr w:rsidR="00933F41" w:rsidTr="00933F41">
        <w:tc>
          <w:tcPr>
            <w:tcW w:w="4606" w:type="dxa"/>
          </w:tcPr>
          <w:p w:rsidR="00933F41" w:rsidRDefault="00933F41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A.I</w:t>
            </w:r>
          </w:p>
        </w:tc>
        <w:tc>
          <w:tcPr>
            <w:tcW w:w="4606" w:type="dxa"/>
          </w:tcPr>
          <w:p w:rsidR="00933F41" w:rsidRDefault="00933F41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A.I – A.VI</w:t>
            </w:r>
          </w:p>
        </w:tc>
      </w:tr>
      <w:tr w:rsidR="00933F41" w:rsidTr="00933F41">
        <w:tc>
          <w:tcPr>
            <w:tcW w:w="4606" w:type="dxa"/>
          </w:tcPr>
          <w:p w:rsidR="00933F41" w:rsidRDefault="00933F41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</w:t>
            </w:r>
          </w:p>
        </w:tc>
        <w:tc>
          <w:tcPr>
            <w:tcW w:w="4606" w:type="dxa"/>
          </w:tcPr>
          <w:p w:rsidR="00933F41" w:rsidRDefault="00933F41" w:rsidP="00933F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B.II.2 a-c</w:t>
            </w:r>
          </w:p>
        </w:tc>
      </w:tr>
      <w:tr w:rsidR="00933F41" w:rsidTr="00933F41">
        <w:tc>
          <w:tcPr>
            <w:tcW w:w="4606" w:type="dxa"/>
          </w:tcPr>
          <w:p w:rsidR="00933F41" w:rsidRDefault="00933F41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C.I</w:t>
            </w:r>
          </w:p>
        </w:tc>
        <w:tc>
          <w:tcPr>
            <w:tcW w:w="4606" w:type="dxa"/>
          </w:tcPr>
          <w:p w:rsidR="00933F41" w:rsidRDefault="00933F41" w:rsidP="001365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B.III.2 a-c</w:t>
            </w:r>
          </w:p>
        </w:tc>
      </w:tr>
    </w:tbl>
    <w:p w:rsidR="00933F41" w:rsidRDefault="00933F41" w:rsidP="001365C6">
      <w:pPr>
        <w:spacing w:after="0" w:line="24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4C3AD6" w:rsidRPr="00933F41" w:rsidRDefault="00D92A59" w:rsidP="00933F41">
      <w:pPr>
        <w:jc w:val="both"/>
        <w:rPr>
          <w:rFonts w:ascii="Arial" w:hAnsi="Arial" w:cs="Arial"/>
          <w:sz w:val="20"/>
          <w:szCs w:val="20"/>
        </w:rPr>
      </w:pPr>
      <w:r w:rsidRPr="00933F41">
        <w:rPr>
          <w:rFonts w:ascii="Arial" w:hAnsi="Arial" w:cs="Arial"/>
          <w:sz w:val="20"/>
          <w:szCs w:val="20"/>
        </w:rPr>
        <w:t>.</w:t>
      </w:r>
    </w:p>
    <w:p w:rsidR="00BA341A" w:rsidRDefault="00EB0C38" w:rsidP="00BA341A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cząstkowego bilansu skonsolidowanego dla </w:t>
      </w:r>
      <w:r w:rsidR="00BA341A">
        <w:rPr>
          <w:rFonts w:ascii="Arial" w:hAnsi="Arial" w:cs="Arial"/>
          <w:sz w:val="20"/>
          <w:szCs w:val="20"/>
        </w:rPr>
        <w:t>grupy „</w:t>
      </w:r>
      <w:r w:rsidR="00933F41">
        <w:rPr>
          <w:rFonts w:ascii="Arial" w:hAnsi="Arial" w:cs="Arial"/>
          <w:sz w:val="20"/>
          <w:szCs w:val="20"/>
        </w:rPr>
        <w:t>Jednostka dominująca</w:t>
      </w:r>
      <w:r w:rsidR="004C3AD6">
        <w:rPr>
          <w:rFonts w:ascii="Arial" w:hAnsi="Arial" w:cs="Arial"/>
          <w:sz w:val="20"/>
          <w:szCs w:val="20"/>
        </w:rPr>
        <w:t xml:space="preserve"> i jednostki podporządkowane”</w:t>
      </w:r>
      <w:r w:rsidR="00933F41">
        <w:rPr>
          <w:rFonts w:ascii="Arial" w:hAnsi="Arial" w:cs="Arial"/>
          <w:sz w:val="20"/>
          <w:szCs w:val="20"/>
        </w:rPr>
        <w:t xml:space="preserve"> (bez spółek prawa handlowego) poprzez</w:t>
      </w:r>
      <w:r w:rsidR="004C3AD6">
        <w:rPr>
          <w:rFonts w:ascii="Arial" w:hAnsi="Arial" w:cs="Arial"/>
          <w:sz w:val="20"/>
          <w:szCs w:val="20"/>
        </w:rPr>
        <w:t>:</w:t>
      </w:r>
    </w:p>
    <w:p w:rsidR="004C3AD6" w:rsidRDefault="00D92A59" w:rsidP="00D92A5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sumowanie </w:t>
      </w:r>
      <w:r w:rsidR="004726B8">
        <w:rPr>
          <w:rFonts w:ascii="Arial" w:hAnsi="Arial" w:cs="Arial"/>
          <w:sz w:val="20"/>
          <w:szCs w:val="20"/>
        </w:rPr>
        <w:t xml:space="preserve">poszczególnych </w:t>
      </w:r>
      <w:r>
        <w:rPr>
          <w:rFonts w:ascii="Arial" w:hAnsi="Arial" w:cs="Arial"/>
          <w:sz w:val="20"/>
          <w:szCs w:val="20"/>
        </w:rPr>
        <w:t>pozycji z cząstkowych bilansów grup konsolidacyjnych</w:t>
      </w:r>
      <w:r w:rsidR="00ED2EDD">
        <w:rPr>
          <w:rFonts w:ascii="Arial" w:hAnsi="Arial" w:cs="Arial"/>
          <w:sz w:val="20"/>
          <w:szCs w:val="20"/>
        </w:rPr>
        <w:t>:</w:t>
      </w:r>
    </w:p>
    <w:p w:rsidR="00D92A59" w:rsidRDefault="00933F41" w:rsidP="00981EC2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Jednostka dominująca</w:t>
      </w:r>
      <w:r w:rsidR="00D92A59">
        <w:rPr>
          <w:rFonts w:ascii="Arial" w:hAnsi="Arial" w:cs="Arial"/>
          <w:sz w:val="20"/>
          <w:szCs w:val="20"/>
        </w:rPr>
        <w:t>,</w:t>
      </w:r>
    </w:p>
    <w:p w:rsidR="00D92A59" w:rsidRDefault="00734CE3" w:rsidP="00981EC2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Jednostki podporządkowane (samodzielne publiczne zakłady opieki zdrowotnej, instytucje kultury, samorządowe osoby prawne)</w:t>
      </w:r>
    </w:p>
    <w:p w:rsidR="00D92A59" w:rsidRDefault="00D92A59" w:rsidP="00D92A5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tabeli wyłączeń oraz korekt,</w:t>
      </w:r>
    </w:p>
    <w:p w:rsidR="00D92A59" w:rsidRDefault="00D92A59" w:rsidP="00D92A5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skorygowanie zbiorczych pozycji bilansu o kwoty wzajemnych wyłączeń oraz korekt,</w:t>
      </w:r>
    </w:p>
    <w:p w:rsidR="00D92A59" w:rsidRPr="00D92A59" w:rsidRDefault="00D92A59" w:rsidP="00D92A59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sporządzenie cząstkowego bilansu skonsolidowanego</w:t>
      </w:r>
      <w:r w:rsidRPr="00D92A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dla grupy </w:t>
      </w:r>
      <w:r w:rsidR="00BA1796">
        <w:rPr>
          <w:rFonts w:ascii="Arial" w:hAnsi="Arial" w:cs="Arial"/>
          <w:sz w:val="20"/>
          <w:szCs w:val="20"/>
        </w:rPr>
        <w:t>„Jednostka dominująca i jednostki podporządkowane” (bez spółek prawa handlowego).</w:t>
      </w:r>
    </w:p>
    <w:p w:rsidR="00EB0C38" w:rsidRDefault="00BA341A" w:rsidP="00EB0C3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Sporządzenie cząstkowego bilansu skonsolidowanego dla grupy </w:t>
      </w:r>
      <w:r w:rsidR="006C4466">
        <w:rPr>
          <w:rFonts w:ascii="Arial" w:hAnsi="Arial" w:cs="Arial"/>
          <w:sz w:val="20"/>
          <w:szCs w:val="20"/>
        </w:rPr>
        <w:t>„Jednostka dominująca, jednostki podporządkowane i spółki prawa handlowego” poprzez:</w:t>
      </w:r>
    </w:p>
    <w:p w:rsidR="006C6C50" w:rsidRDefault="004726B8" w:rsidP="005D0712">
      <w:pPr>
        <w:pStyle w:val="Akapitzlist"/>
        <w:numPr>
          <w:ilvl w:val="0"/>
          <w:numId w:val="22"/>
        </w:numPr>
        <w:ind w:left="1440"/>
        <w:jc w:val="both"/>
        <w:rPr>
          <w:rFonts w:ascii="Arial" w:hAnsi="Arial" w:cs="Arial"/>
          <w:sz w:val="20"/>
          <w:szCs w:val="20"/>
        </w:rPr>
      </w:pPr>
      <w:r w:rsidRPr="006C6C50">
        <w:rPr>
          <w:rFonts w:ascii="Arial" w:hAnsi="Arial" w:cs="Arial"/>
          <w:sz w:val="20"/>
          <w:szCs w:val="20"/>
        </w:rPr>
        <w:t>S</w:t>
      </w:r>
      <w:r w:rsidR="00CB69E1" w:rsidRPr="006C6C50">
        <w:rPr>
          <w:rFonts w:ascii="Arial" w:hAnsi="Arial" w:cs="Arial"/>
          <w:sz w:val="20"/>
          <w:szCs w:val="20"/>
        </w:rPr>
        <w:t>umowanie</w:t>
      </w:r>
      <w:r>
        <w:rPr>
          <w:rFonts w:ascii="Arial" w:hAnsi="Arial" w:cs="Arial"/>
          <w:sz w:val="20"/>
          <w:szCs w:val="20"/>
        </w:rPr>
        <w:t xml:space="preserve"> poszczególnych</w:t>
      </w:r>
      <w:r w:rsidR="00CB69E1" w:rsidRPr="006C6C50">
        <w:rPr>
          <w:rFonts w:ascii="Arial" w:hAnsi="Arial" w:cs="Arial"/>
          <w:sz w:val="20"/>
          <w:szCs w:val="20"/>
        </w:rPr>
        <w:t xml:space="preserve"> pozycji z cząstkowych bilansów grup konsolidacyjnyc</w:t>
      </w:r>
      <w:r w:rsidR="005E2A0B">
        <w:rPr>
          <w:rFonts w:ascii="Arial" w:hAnsi="Arial" w:cs="Arial"/>
          <w:sz w:val="20"/>
          <w:szCs w:val="20"/>
        </w:rPr>
        <w:t>h</w:t>
      </w:r>
      <w:r w:rsidR="00ED2EDD">
        <w:rPr>
          <w:rFonts w:ascii="Arial" w:hAnsi="Arial" w:cs="Arial"/>
          <w:sz w:val="20"/>
          <w:szCs w:val="20"/>
        </w:rPr>
        <w:t>:</w:t>
      </w:r>
      <w:r w:rsidR="00CB69E1" w:rsidRPr="006C6C50">
        <w:rPr>
          <w:rFonts w:ascii="Arial" w:hAnsi="Arial" w:cs="Arial"/>
          <w:sz w:val="20"/>
          <w:szCs w:val="20"/>
        </w:rPr>
        <w:t xml:space="preserve"> </w:t>
      </w:r>
    </w:p>
    <w:p w:rsidR="006C6C50" w:rsidRPr="00D92A59" w:rsidRDefault="006C4466" w:rsidP="00981EC2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Jednostka dominująca</w:t>
      </w:r>
      <w:r w:rsidR="006C6C50">
        <w:rPr>
          <w:rFonts w:ascii="Arial" w:hAnsi="Arial" w:cs="Arial"/>
          <w:sz w:val="20"/>
          <w:szCs w:val="20"/>
        </w:rPr>
        <w:t xml:space="preserve"> i jednostki podporządkowane,</w:t>
      </w:r>
    </w:p>
    <w:p w:rsidR="006C6C50" w:rsidRDefault="006C6C50" w:rsidP="00981EC2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Spółki prawa handlowego,</w:t>
      </w:r>
    </w:p>
    <w:p w:rsidR="006C6C50" w:rsidRDefault="006C6C50" w:rsidP="005D071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tabeli wyłączeń oraz korekt,</w:t>
      </w:r>
    </w:p>
    <w:p w:rsidR="006C6C50" w:rsidRDefault="006C6C50" w:rsidP="005D0712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skorygowanie zbiorczych pozycji bilansu o kwoty </w:t>
      </w:r>
      <w:r w:rsidR="00650210">
        <w:rPr>
          <w:rFonts w:ascii="Arial" w:hAnsi="Arial" w:cs="Arial"/>
          <w:sz w:val="20"/>
          <w:szCs w:val="20"/>
        </w:rPr>
        <w:t>wzajemnych wyłączeń oraz korekt.</w:t>
      </w:r>
    </w:p>
    <w:p w:rsidR="006C6C50" w:rsidRDefault="006C6C50" w:rsidP="006C6C5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Sporządzenie bilansu skonsolidowanego Województwa Zachodniopomorskiego.</w:t>
      </w:r>
    </w:p>
    <w:p w:rsidR="00277939" w:rsidRDefault="00277939" w:rsidP="006C6C5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Podpisanie bilansu </w:t>
      </w:r>
      <w:r w:rsidR="00F054BC">
        <w:rPr>
          <w:rFonts w:ascii="Arial" w:hAnsi="Arial" w:cs="Arial"/>
          <w:sz w:val="20"/>
          <w:szCs w:val="20"/>
        </w:rPr>
        <w:t xml:space="preserve">skonsolidowanego Województwa Zachodniopomorskiego </w:t>
      </w:r>
      <w:r>
        <w:rPr>
          <w:rFonts w:ascii="Arial" w:hAnsi="Arial" w:cs="Arial"/>
          <w:sz w:val="20"/>
          <w:szCs w:val="20"/>
        </w:rPr>
        <w:t xml:space="preserve">w wersji elektronicznej </w:t>
      </w:r>
      <w:r w:rsidR="00891DA5">
        <w:rPr>
          <w:rFonts w:ascii="Arial" w:hAnsi="Arial" w:cs="Arial"/>
          <w:sz w:val="20"/>
          <w:szCs w:val="20"/>
        </w:rPr>
        <w:t xml:space="preserve">w programie </w:t>
      </w:r>
      <w:proofErr w:type="spellStart"/>
      <w:r w:rsidR="00891DA5">
        <w:rPr>
          <w:rFonts w:ascii="Arial" w:hAnsi="Arial" w:cs="Arial"/>
          <w:sz w:val="20"/>
          <w:szCs w:val="20"/>
        </w:rPr>
        <w:t>BeSTi</w:t>
      </w:r>
      <w:proofErr w:type="spellEnd"/>
      <w:r w:rsidR="00891DA5">
        <w:rPr>
          <w:rFonts w:ascii="Arial" w:hAnsi="Arial" w:cs="Arial"/>
          <w:sz w:val="20"/>
          <w:szCs w:val="20"/>
        </w:rPr>
        <w:t xml:space="preserve">@ </w:t>
      </w:r>
      <w:r w:rsidR="00F75C3C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 xml:space="preserve">dokumentu </w:t>
      </w:r>
      <w:r w:rsidR="00891DA5">
        <w:rPr>
          <w:rFonts w:ascii="Arial" w:hAnsi="Arial" w:cs="Arial"/>
          <w:sz w:val="20"/>
          <w:szCs w:val="20"/>
        </w:rPr>
        <w:t xml:space="preserve">w </w:t>
      </w:r>
      <w:r w:rsidR="001C3644">
        <w:rPr>
          <w:rFonts w:ascii="Arial" w:hAnsi="Arial" w:cs="Arial"/>
          <w:sz w:val="20"/>
          <w:szCs w:val="20"/>
        </w:rPr>
        <w:t>formie</w:t>
      </w:r>
      <w:r w:rsidR="00891DA5">
        <w:rPr>
          <w:rFonts w:ascii="Arial" w:hAnsi="Arial" w:cs="Arial"/>
          <w:sz w:val="20"/>
          <w:szCs w:val="20"/>
        </w:rPr>
        <w:t xml:space="preserve"> papierowej</w:t>
      </w:r>
      <w:r w:rsidR="00C7178A">
        <w:rPr>
          <w:rFonts w:ascii="Arial" w:hAnsi="Arial" w:cs="Arial"/>
          <w:sz w:val="20"/>
          <w:szCs w:val="20"/>
        </w:rPr>
        <w:t>.</w:t>
      </w:r>
    </w:p>
    <w:p w:rsidR="00531DAB" w:rsidRPr="0038771E" w:rsidRDefault="00277939" w:rsidP="00277939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8771E">
        <w:rPr>
          <w:rFonts w:ascii="Arial" w:hAnsi="Arial" w:cs="Arial"/>
          <w:sz w:val="20"/>
          <w:szCs w:val="20"/>
        </w:rPr>
        <w:t xml:space="preserve">Przesłanie bilansu </w:t>
      </w:r>
      <w:r w:rsidR="00F054BC">
        <w:rPr>
          <w:rFonts w:ascii="Arial" w:hAnsi="Arial" w:cs="Arial"/>
          <w:sz w:val="20"/>
          <w:szCs w:val="20"/>
        </w:rPr>
        <w:t xml:space="preserve">skonsolidowanego </w:t>
      </w:r>
      <w:r w:rsidRPr="0038771E">
        <w:rPr>
          <w:rFonts w:ascii="Arial" w:hAnsi="Arial" w:cs="Arial"/>
          <w:sz w:val="20"/>
          <w:szCs w:val="20"/>
        </w:rPr>
        <w:t xml:space="preserve">w wersji elektronicznej </w:t>
      </w:r>
      <w:r w:rsidR="00891DA5" w:rsidRPr="0038771E">
        <w:rPr>
          <w:rFonts w:ascii="Arial" w:hAnsi="Arial" w:cs="Arial"/>
          <w:sz w:val="20"/>
          <w:szCs w:val="20"/>
        </w:rPr>
        <w:t xml:space="preserve">w programie </w:t>
      </w:r>
      <w:proofErr w:type="spellStart"/>
      <w:r w:rsidR="00891DA5" w:rsidRPr="0038771E">
        <w:rPr>
          <w:rFonts w:ascii="Arial" w:hAnsi="Arial" w:cs="Arial"/>
          <w:sz w:val="20"/>
          <w:szCs w:val="20"/>
        </w:rPr>
        <w:t>BeSTi</w:t>
      </w:r>
      <w:proofErr w:type="spellEnd"/>
      <w:r w:rsidR="00891DA5" w:rsidRPr="0038771E">
        <w:rPr>
          <w:rFonts w:ascii="Arial" w:hAnsi="Arial" w:cs="Arial"/>
          <w:sz w:val="20"/>
          <w:szCs w:val="20"/>
        </w:rPr>
        <w:t xml:space="preserve">@ </w:t>
      </w:r>
      <w:r w:rsidRPr="0038771E">
        <w:rPr>
          <w:rFonts w:ascii="Arial" w:hAnsi="Arial" w:cs="Arial"/>
          <w:sz w:val="20"/>
          <w:szCs w:val="20"/>
        </w:rPr>
        <w:t>do Regionalnej Izby Obrachunk</w:t>
      </w:r>
      <w:r w:rsidR="00891DA5" w:rsidRPr="0038771E">
        <w:rPr>
          <w:rFonts w:ascii="Arial" w:hAnsi="Arial" w:cs="Arial"/>
          <w:sz w:val="20"/>
          <w:szCs w:val="20"/>
        </w:rPr>
        <w:t>owej</w:t>
      </w:r>
      <w:r w:rsidRPr="0038771E">
        <w:rPr>
          <w:rFonts w:ascii="Arial" w:hAnsi="Arial" w:cs="Arial"/>
          <w:sz w:val="20"/>
          <w:szCs w:val="20"/>
        </w:rPr>
        <w:t xml:space="preserve"> w Szczecinie </w:t>
      </w:r>
      <w:r w:rsidR="0038771E" w:rsidRPr="0038771E">
        <w:rPr>
          <w:rFonts w:ascii="Arial" w:hAnsi="Arial" w:cs="Arial"/>
          <w:sz w:val="20"/>
          <w:szCs w:val="20"/>
        </w:rPr>
        <w:t>oraz</w:t>
      </w:r>
      <w:r w:rsidR="0038771E">
        <w:rPr>
          <w:rFonts w:ascii="Arial" w:hAnsi="Arial" w:cs="Arial"/>
          <w:sz w:val="20"/>
          <w:szCs w:val="20"/>
        </w:rPr>
        <w:t xml:space="preserve"> z</w:t>
      </w:r>
      <w:r w:rsidRPr="0038771E">
        <w:rPr>
          <w:rFonts w:ascii="Arial" w:hAnsi="Arial" w:cs="Arial"/>
          <w:sz w:val="20"/>
          <w:szCs w:val="20"/>
        </w:rPr>
        <w:t xml:space="preserve">łożenie bilansu skonsolidowanego </w:t>
      </w:r>
      <w:r w:rsidR="00F054BC">
        <w:rPr>
          <w:rFonts w:ascii="Arial" w:hAnsi="Arial" w:cs="Arial"/>
          <w:sz w:val="20"/>
          <w:szCs w:val="20"/>
        </w:rPr>
        <w:t xml:space="preserve">  </w:t>
      </w:r>
      <w:r w:rsidRPr="0038771E">
        <w:rPr>
          <w:rFonts w:ascii="Arial" w:hAnsi="Arial" w:cs="Arial"/>
          <w:sz w:val="20"/>
          <w:szCs w:val="20"/>
        </w:rPr>
        <w:t xml:space="preserve">w </w:t>
      </w:r>
      <w:r w:rsidR="001C3644" w:rsidRPr="0038771E">
        <w:rPr>
          <w:rFonts w:ascii="Arial" w:hAnsi="Arial" w:cs="Arial"/>
          <w:sz w:val="20"/>
          <w:szCs w:val="20"/>
        </w:rPr>
        <w:t>formie</w:t>
      </w:r>
      <w:r w:rsidRPr="0038771E">
        <w:rPr>
          <w:rFonts w:ascii="Arial" w:hAnsi="Arial" w:cs="Arial"/>
          <w:sz w:val="20"/>
          <w:szCs w:val="20"/>
        </w:rPr>
        <w:t xml:space="preserve"> </w:t>
      </w:r>
      <w:r w:rsidR="001C3644" w:rsidRPr="0038771E">
        <w:rPr>
          <w:rFonts w:ascii="Arial" w:hAnsi="Arial" w:cs="Arial"/>
          <w:sz w:val="20"/>
          <w:szCs w:val="20"/>
        </w:rPr>
        <w:t>papierowej</w:t>
      </w:r>
      <w:r w:rsidRPr="0038771E">
        <w:rPr>
          <w:rFonts w:ascii="Arial" w:hAnsi="Arial" w:cs="Arial"/>
          <w:sz w:val="20"/>
          <w:szCs w:val="20"/>
        </w:rPr>
        <w:t xml:space="preserve"> do Regionalnej Izby Obrachunkowej w Szczecinie w terminie do </w:t>
      </w:r>
      <w:r w:rsidR="00F75C3C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38771E">
        <w:rPr>
          <w:rFonts w:ascii="Arial" w:hAnsi="Arial" w:cs="Arial"/>
          <w:sz w:val="20"/>
          <w:szCs w:val="20"/>
        </w:rPr>
        <w:t>30 czerwca roku następnego.</w:t>
      </w:r>
    </w:p>
    <w:p w:rsidR="00277939" w:rsidRPr="004A7C77" w:rsidRDefault="00277939" w:rsidP="00C92CDB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A7C77">
        <w:rPr>
          <w:rFonts w:ascii="Arial" w:hAnsi="Arial" w:cs="Arial"/>
          <w:sz w:val="20"/>
          <w:szCs w:val="20"/>
        </w:rPr>
        <w:t>W przypadku konieczności rozszerzenia dokumentacji konsolidacyjnej o nowy dokument, jego treść i</w:t>
      </w:r>
      <w:r w:rsidR="001C3644" w:rsidRPr="004A7C77">
        <w:rPr>
          <w:rFonts w:ascii="Arial" w:hAnsi="Arial" w:cs="Arial"/>
          <w:sz w:val="20"/>
          <w:szCs w:val="20"/>
        </w:rPr>
        <w:t xml:space="preserve"> formę zatwierdza S</w:t>
      </w:r>
      <w:r w:rsidRPr="004A7C77">
        <w:rPr>
          <w:rFonts w:ascii="Arial" w:hAnsi="Arial" w:cs="Arial"/>
          <w:sz w:val="20"/>
          <w:szCs w:val="20"/>
        </w:rPr>
        <w:t>karbnik Województwa Zachodniopomorskiego.</w:t>
      </w:r>
    </w:p>
    <w:p w:rsidR="00277939" w:rsidRDefault="00B674EF" w:rsidP="00C92CDB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62140">
        <w:rPr>
          <w:rFonts w:ascii="Arial" w:hAnsi="Arial" w:cs="Arial"/>
          <w:sz w:val="20"/>
          <w:szCs w:val="20"/>
        </w:rPr>
        <w:t xml:space="preserve">okumentację </w:t>
      </w:r>
      <w:r w:rsidR="00277939">
        <w:rPr>
          <w:rFonts w:ascii="Arial" w:hAnsi="Arial" w:cs="Arial"/>
          <w:sz w:val="20"/>
          <w:szCs w:val="20"/>
        </w:rPr>
        <w:t xml:space="preserve">bilansu skonsolidowanego </w:t>
      </w:r>
      <w:r>
        <w:rPr>
          <w:rFonts w:ascii="Arial" w:hAnsi="Arial" w:cs="Arial"/>
          <w:sz w:val="20"/>
          <w:szCs w:val="20"/>
        </w:rPr>
        <w:t>stanowią</w:t>
      </w:r>
      <w:r w:rsidR="003709A1">
        <w:rPr>
          <w:rFonts w:ascii="Arial" w:hAnsi="Arial" w:cs="Arial"/>
          <w:sz w:val="20"/>
          <w:szCs w:val="20"/>
        </w:rPr>
        <w:t>:</w:t>
      </w:r>
    </w:p>
    <w:p w:rsidR="00B83DBF" w:rsidRDefault="00B83DBF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jednostek wchodz</w:t>
      </w:r>
      <w:r w:rsidR="00B674EF">
        <w:rPr>
          <w:rFonts w:ascii="Arial" w:hAnsi="Arial" w:cs="Arial"/>
          <w:sz w:val="20"/>
          <w:szCs w:val="20"/>
        </w:rPr>
        <w:t>ących w skład grupy kapitałowej, zgodnie z załącznikiem nr 1 do Instrukcji;</w:t>
      </w:r>
    </w:p>
    <w:p w:rsidR="00B674EF" w:rsidRDefault="00B674EF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Bilanse jednostek objętych konsolidacją;</w:t>
      </w:r>
    </w:p>
    <w:p w:rsidR="00B674EF" w:rsidRDefault="00982A72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Arkusze kalkulacyjne konsolidujące</w:t>
      </w:r>
      <w:r w:rsidR="00B674EF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zycje aktywów i pasywów bilansu budżetu i łącznego bilansu jednostek budżetowych i zakładów budżetowych;</w:t>
      </w:r>
    </w:p>
    <w:p w:rsidR="00B674EF" w:rsidRDefault="00B674EF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 jednostki dominującej;</w:t>
      </w:r>
    </w:p>
    <w:p w:rsidR="00982A72" w:rsidRDefault="00982A72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Arkusze kalkulacyjne konsolidujące pozycje aktywów i pasywów bilansów </w:t>
      </w:r>
      <w:r w:rsidR="00BA0DC3">
        <w:rPr>
          <w:rFonts w:ascii="Arial" w:hAnsi="Arial" w:cs="Arial"/>
          <w:sz w:val="20"/>
          <w:szCs w:val="20"/>
        </w:rPr>
        <w:t>poszczególnych grup: „Samodzielne publiczne zakłady opieki zdrowotnej”, „Samorządowe instytucje kultury”, „Samorządowe osoby prawne”, „Spółki prawa handlowego”</w:t>
      </w:r>
    </w:p>
    <w:p w:rsidR="00B674EF" w:rsidRDefault="00B674EF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Cząstkowe bilanse </w:t>
      </w:r>
      <w:r w:rsidR="00982A72">
        <w:rPr>
          <w:rFonts w:ascii="Arial" w:hAnsi="Arial" w:cs="Arial"/>
          <w:sz w:val="20"/>
          <w:szCs w:val="20"/>
        </w:rPr>
        <w:t>skonsolidowane dla grup</w:t>
      </w:r>
      <w:r>
        <w:rPr>
          <w:rFonts w:ascii="Arial" w:hAnsi="Arial" w:cs="Arial"/>
          <w:sz w:val="20"/>
          <w:szCs w:val="20"/>
        </w:rPr>
        <w:t>:</w:t>
      </w:r>
    </w:p>
    <w:p w:rsidR="00B674EF" w:rsidRDefault="00B674EF" w:rsidP="00B674E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0D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amorządowe instytucje kultury </w:t>
      </w:r>
    </w:p>
    <w:p w:rsidR="00B674EF" w:rsidRDefault="00B674EF" w:rsidP="00B674E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0D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amorządowe SP ZOZ </w:t>
      </w:r>
    </w:p>
    <w:p w:rsidR="00B674EF" w:rsidRDefault="00B674EF" w:rsidP="00B674E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0DC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ojewódzkie samorządowe osoby prawne </w:t>
      </w:r>
    </w:p>
    <w:p w:rsidR="00B674EF" w:rsidRDefault="00B674EF" w:rsidP="00B674EF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A0DC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półki prawa handlowego </w:t>
      </w:r>
    </w:p>
    <w:p w:rsidR="00B674EF" w:rsidRDefault="00BA0DC3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Cząstkow</w:t>
      </w:r>
      <w:r w:rsidR="00CD3EC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bilans skonsolidowany dla grupy „Jednostka dominująca i jednostki podporządkowane” (bez spółek prawa handlowego)</w:t>
      </w:r>
    </w:p>
    <w:p w:rsidR="00B674EF" w:rsidRDefault="00BA0DC3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Cząstkow</w:t>
      </w:r>
      <w:r w:rsidR="00CD3EC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bilans skonsolidowany dla grupy „Jednostka dominująca, jednostki podporządkowane i spółki prawa handlowego”</w:t>
      </w:r>
    </w:p>
    <w:p w:rsidR="00B674EF" w:rsidRDefault="00A12C29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uzupełniająca o wzajemnych wyłączeniach pomiędzy jednostkami – zgodnie z załącznikiem nr 2 do Instrukcji.</w:t>
      </w:r>
    </w:p>
    <w:p w:rsidR="00FC55D9" w:rsidRDefault="00FC55D9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Noty korygujące.</w:t>
      </w:r>
    </w:p>
    <w:p w:rsidR="00B674EF" w:rsidRDefault="00A12C29" w:rsidP="00B83D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Bilans skonsolidowany Województwa Zachodniopomorskiego.</w:t>
      </w:r>
    </w:p>
    <w:p w:rsidR="00B83DBF" w:rsidRPr="00277939" w:rsidRDefault="00B83DBF" w:rsidP="00A12C29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sectPr w:rsidR="00B83DBF" w:rsidRPr="00277939" w:rsidSect="00795F61">
      <w:footerReference w:type="default" r:id="rId9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4A" w:rsidRDefault="0065374A" w:rsidP="002C46BA">
      <w:pPr>
        <w:spacing w:after="0" w:line="240" w:lineRule="auto"/>
      </w:pPr>
      <w:r>
        <w:separator/>
      </w:r>
    </w:p>
  </w:endnote>
  <w:endnote w:type="continuationSeparator" w:id="0">
    <w:p w:rsidR="0065374A" w:rsidRDefault="0065374A" w:rsidP="002C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96449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D740F" w:rsidRDefault="008D740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95F61">
          <w:rPr>
            <w:rFonts w:ascii="Arial" w:hAnsi="Arial" w:cs="Arial"/>
            <w:sz w:val="18"/>
            <w:szCs w:val="18"/>
          </w:rPr>
          <w:t xml:space="preserve">str. </w:t>
        </w:r>
        <w:r w:rsidR="00E2657B" w:rsidRPr="00795F61">
          <w:rPr>
            <w:rFonts w:ascii="Arial" w:hAnsi="Arial" w:cs="Arial"/>
            <w:sz w:val="18"/>
            <w:szCs w:val="18"/>
          </w:rPr>
          <w:fldChar w:fldCharType="begin"/>
        </w:r>
        <w:r w:rsidRPr="00795F61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E2657B" w:rsidRPr="00795F61">
          <w:rPr>
            <w:rFonts w:ascii="Arial" w:hAnsi="Arial" w:cs="Arial"/>
            <w:sz w:val="18"/>
            <w:szCs w:val="18"/>
          </w:rPr>
          <w:fldChar w:fldCharType="separate"/>
        </w:r>
        <w:r w:rsidR="00ED0FCD">
          <w:rPr>
            <w:rFonts w:ascii="Arial" w:hAnsi="Arial" w:cs="Arial"/>
            <w:noProof/>
            <w:sz w:val="18"/>
            <w:szCs w:val="18"/>
          </w:rPr>
          <w:t>1</w:t>
        </w:r>
        <w:r w:rsidR="00E2657B" w:rsidRPr="00795F6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8D740F" w:rsidRDefault="008D74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4A" w:rsidRDefault="0065374A" w:rsidP="002C46BA">
      <w:pPr>
        <w:spacing w:after="0" w:line="240" w:lineRule="auto"/>
      </w:pPr>
      <w:r>
        <w:separator/>
      </w:r>
    </w:p>
  </w:footnote>
  <w:footnote w:type="continuationSeparator" w:id="0">
    <w:p w:rsidR="0065374A" w:rsidRDefault="0065374A" w:rsidP="002C4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22AC"/>
    <w:multiLevelType w:val="hybridMultilevel"/>
    <w:tmpl w:val="B75AA1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F6B5C"/>
    <w:multiLevelType w:val="hybridMultilevel"/>
    <w:tmpl w:val="E7F0A108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21C761E"/>
    <w:multiLevelType w:val="hybridMultilevel"/>
    <w:tmpl w:val="64D00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2B3E"/>
    <w:multiLevelType w:val="hybridMultilevel"/>
    <w:tmpl w:val="C9AEC6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D61567"/>
    <w:multiLevelType w:val="hybridMultilevel"/>
    <w:tmpl w:val="9EF83940"/>
    <w:lvl w:ilvl="0" w:tplc="17625E6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9259BE"/>
    <w:multiLevelType w:val="hybridMultilevel"/>
    <w:tmpl w:val="18CA7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C5897"/>
    <w:multiLevelType w:val="hybridMultilevel"/>
    <w:tmpl w:val="9AF428C2"/>
    <w:lvl w:ilvl="0" w:tplc="EDBE540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710494"/>
    <w:multiLevelType w:val="hybridMultilevel"/>
    <w:tmpl w:val="873693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C07404"/>
    <w:multiLevelType w:val="hybridMultilevel"/>
    <w:tmpl w:val="201675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2986C9C"/>
    <w:multiLevelType w:val="hybridMultilevel"/>
    <w:tmpl w:val="5DE0B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E4021"/>
    <w:multiLevelType w:val="hybridMultilevel"/>
    <w:tmpl w:val="782EF360"/>
    <w:lvl w:ilvl="0" w:tplc="04150017">
      <w:start w:val="1"/>
      <w:numFmt w:val="lowerLetter"/>
      <w:lvlText w:val="%1)"/>
      <w:lvlJc w:val="left"/>
      <w:pPr>
        <w:ind w:left="1460" w:hanging="360"/>
      </w:pPr>
    </w:lvl>
    <w:lvl w:ilvl="1" w:tplc="04150019">
      <w:start w:val="1"/>
      <w:numFmt w:val="lowerLetter"/>
      <w:lvlText w:val="%2."/>
      <w:lvlJc w:val="left"/>
      <w:pPr>
        <w:ind w:left="3288" w:hanging="360"/>
      </w:pPr>
    </w:lvl>
    <w:lvl w:ilvl="2" w:tplc="0415001B">
      <w:start w:val="1"/>
      <w:numFmt w:val="lowerRoman"/>
      <w:lvlText w:val="%3."/>
      <w:lvlJc w:val="right"/>
      <w:pPr>
        <w:ind w:left="4008" w:hanging="180"/>
      </w:pPr>
    </w:lvl>
    <w:lvl w:ilvl="3" w:tplc="0415000F">
      <w:start w:val="1"/>
      <w:numFmt w:val="decimal"/>
      <w:lvlText w:val="%4."/>
      <w:lvlJc w:val="left"/>
      <w:pPr>
        <w:ind w:left="4728" w:hanging="360"/>
      </w:pPr>
    </w:lvl>
    <w:lvl w:ilvl="4" w:tplc="04150019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11">
    <w:nsid w:val="294C7749"/>
    <w:multiLevelType w:val="hybridMultilevel"/>
    <w:tmpl w:val="DA0443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527E7E"/>
    <w:multiLevelType w:val="hybridMultilevel"/>
    <w:tmpl w:val="5478039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CF8644F"/>
    <w:multiLevelType w:val="hybridMultilevel"/>
    <w:tmpl w:val="FE06F23E"/>
    <w:lvl w:ilvl="0" w:tplc="353C8E66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C3733F"/>
    <w:multiLevelType w:val="hybridMultilevel"/>
    <w:tmpl w:val="EE1EAA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94B395B"/>
    <w:multiLevelType w:val="hybridMultilevel"/>
    <w:tmpl w:val="75FA806A"/>
    <w:lvl w:ilvl="0" w:tplc="E0547CD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F766D0"/>
    <w:multiLevelType w:val="hybridMultilevel"/>
    <w:tmpl w:val="FC9EE4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324185"/>
    <w:multiLevelType w:val="hybridMultilevel"/>
    <w:tmpl w:val="B2C81F6C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1243D19"/>
    <w:multiLevelType w:val="hybridMultilevel"/>
    <w:tmpl w:val="4AB20070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87327A2"/>
    <w:multiLevelType w:val="hybridMultilevel"/>
    <w:tmpl w:val="79567546"/>
    <w:lvl w:ilvl="0" w:tplc="08F01E3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A25EE"/>
    <w:multiLevelType w:val="hybridMultilevel"/>
    <w:tmpl w:val="BD0291E4"/>
    <w:lvl w:ilvl="0" w:tplc="631227E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547C3"/>
    <w:multiLevelType w:val="hybridMultilevel"/>
    <w:tmpl w:val="A1DA95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114530"/>
    <w:multiLevelType w:val="hybridMultilevel"/>
    <w:tmpl w:val="E6D2B9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E3874"/>
    <w:multiLevelType w:val="hybridMultilevel"/>
    <w:tmpl w:val="9072048E"/>
    <w:lvl w:ilvl="0" w:tplc="688E7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F3CBE"/>
    <w:multiLevelType w:val="hybridMultilevel"/>
    <w:tmpl w:val="F586B7B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58B614E5"/>
    <w:multiLevelType w:val="hybridMultilevel"/>
    <w:tmpl w:val="6EFE84B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3D26FF"/>
    <w:multiLevelType w:val="hybridMultilevel"/>
    <w:tmpl w:val="BC5ED590"/>
    <w:lvl w:ilvl="0" w:tplc="1834F7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D330BA"/>
    <w:multiLevelType w:val="hybridMultilevel"/>
    <w:tmpl w:val="0E2270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456FD6"/>
    <w:multiLevelType w:val="hybridMultilevel"/>
    <w:tmpl w:val="74B821B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6A7A25DE"/>
    <w:multiLevelType w:val="hybridMultilevel"/>
    <w:tmpl w:val="B86478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B6F5BF0"/>
    <w:multiLevelType w:val="hybridMultilevel"/>
    <w:tmpl w:val="8454290C"/>
    <w:lvl w:ilvl="0" w:tplc="05A4AA10">
      <w:start w:val="20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31">
    <w:nsid w:val="6CE25DFF"/>
    <w:multiLevelType w:val="hybridMultilevel"/>
    <w:tmpl w:val="90B4B0AE"/>
    <w:lvl w:ilvl="0" w:tplc="2C8EA760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D7282B"/>
    <w:multiLevelType w:val="hybridMultilevel"/>
    <w:tmpl w:val="C03E86C4"/>
    <w:lvl w:ilvl="0" w:tplc="0C9C06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A511A"/>
    <w:multiLevelType w:val="hybridMultilevel"/>
    <w:tmpl w:val="13F29E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1A226CC"/>
    <w:multiLevelType w:val="hybridMultilevel"/>
    <w:tmpl w:val="56AA0E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3B64C43"/>
    <w:multiLevelType w:val="hybridMultilevel"/>
    <w:tmpl w:val="6F5EC730"/>
    <w:lvl w:ilvl="0" w:tplc="0415001B">
      <w:start w:val="1"/>
      <w:numFmt w:val="lowerRoman"/>
      <w:lvlText w:val="%1."/>
      <w:lvlJc w:val="right"/>
      <w:pPr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6">
    <w:nsid w:val="7B105694"/>
    <w:multiLevelType w:val="hybridMultilevel"/>
    <w:tmpl w:val="7CDEDE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205A36"/>
    <w:multiLevelType w:val="hybridMultilevel"/>
    <w:tmpl w:val="581CBE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98388D"/>
    <w:multiLevelType w:val="hybridMultilevel"/>
    <w:tmpl w:val="8B8ACED4"/>
    <w:lvl w:ilvl="0" w:tplc="0415001B">
      <w:start w:val="1"/>
      <w:numFmt w:val="low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FAC362E"/>
    <w:multiLevelType w:val="hybridMultilevel"/>
    <w:tmpl w:val="877644BE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23"/>
  </w:num>
  <w:num w:numId="3">
    <w:abstractNumId w:val="37"/>
  </w:num>
  <w:num w:numId="4">
    <w:abstractNumId w:val="24"/>
  </w:num>
  <w:num w:numId="5">
    <w:abstractNumId w:val="11"/>
  </w:num>
  <w:num w:numId="6">
    <w:abstractNumId w:val="15"/>
  </w:num>
  <w:num w:numId="7">
    <w:abstractNumId w:val="38"/>
  </w:num>
  <w:num w:numId="8">
    <w:abstractNumId w:val="8"/>
  </w:num>
  <w:num w:numId="9">
    <w:abstractNumId w:val="29"/>
  </w:num>
  <w:num w:numId="10">
    <w:abstractNumId w:val="36"/>
  </w:num>
  <w:num w:numId="11">
    <w:abstractNumId w:val="16"/>
  </w:num>
  <w:num w:numId="12">
    <w:abstractNumId w:val="34"/>
  </w:num>
  <w:num w:numId="13">
    <w:abstractNumId w:val="6"/>
  </w:num>
  <w:num w:numId="14">
    <w:abstractNumId w:val="31"/>
  </w:num>
  <w:num w:numId="15">
    <w:abstractNumId w:val="33"/>
  </w:num>
  <w:num w:numId="16">
    <w:abstractNumId w:val="3"/>
  </w:num>
  <w:num w:numId="17">
    <w:abstractNumId w:val="28"/>
  </w:num>
  <w:num w:numId="18">
    <w:abstractNumId w:val="22"/>
  </w:num>
  <w:num w:numId="19">
    <w:abstractNumId w:val="21"/>
  </w:num>
  <w:num w:numId="20">
    <w:abstractNumId w:val="1"/>
  </w:num>
  <w:num w:numId="21">
    <w:abstractNumId w:val="7"/>
  </w:num>
  <w:num w:numId="22">
    <w:abstractNumId w:val="10"/>
  </w:num>
  <w:num w:numId="23">
    <w:abstractNumId w:val="17"/>
  </w:num>
  <w:num w:numId="24">
    <w:abstractNumId w:val="35"/>
  </w:num>
  <w:num w:numId="25">
    <w:abstractNumId w:val="5"/>
  </w:num>
  <w:num w:numId="26">
    <w:abstractNumId w:val="2"/>
  </w:num>
  <w:num w:numId="27">
    <w:abstractNumId w:val="14"/>
  </w:num>
  <w:num w:numId="28">
    <w:abstractNumId w:val="19"/>
  </w:num>
  <w:num w:numId="29">
    <w:abstractNumId w:val="0"/>
  </w:num>
  <w:num w:numId="30">
    <w:abstractNumId w:val="32"/>
  </w:num>
  <w:num w:numId="31">
    <w:abstractNumId w:val="12"/>
  </w:num>
  <w:num w:numId="32">
    <w:abstractNumId w:val="30"/>
  </w:num>
  <w:num w:numId="33">
    <w:abstractNumId w:val="27"/>
  </w:num>
  <w:num w:numId="34">
    <w:abstractNumId w:val="26"/>
  </w:num>
  <w:num w:numId="35">
    <w:abstractNumId w:val="13"/>
  </w:num>
  <w:num w:numId="36">
    <w:abstractNumId w:val="4"/>
  </w:num>
  <w:num w:numId="37">
    <w:abstractNumId w:val="20"/>
  </w:num>
  <w:num w:numId="38">
    <w:abstractNumId w:val="25"/>
  </w:num>
  <w:num w:numId="39">
    <w:abstractNumId w:val="18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C34C0"/>
    <w:rsid w:val="0003478F"/>
    <w:rsid w:val="0005528C"/>
    <w:rsid w:val="000C34C0"/>
    <w:rsid w:val="000F1DF1"/>
    <w:rsid w:val="000F45E9"/>
    <w:rsid w:val="00117DB1"/>
    <w:rsid w:val="001365C6"/>
    <w:rsid w:val="00147EF0"/>
    <w:rsid w:val="00175905"/>
    <w:rsid w:val="001800C6"/>
    <w:rsid w:val="0018265D"/>
    <w:rsid w:val="0019155D"/>
    <w:rsid w:val="001B470D"/>
    <w:rsid w:val="001C1BFE"/>
    <w:rsid w:val="001C3644"/>
    <w:rsid w:val="001C7CF5"/>
    <w:rsid w:val="001E0856"/>
    <w:rsid w:val="002335A5"/>
    <w:rsid w:val="00242CD7"/>
    <w:rsid w:val="00243474"/>
    <w:rsid w:val="00261C4B"/>
    <w:rsid w:val="00277939"/>
    <w:rsid w:val="002851E6"/>
    <w:rsid w:val="002876F8"/>
    <w:rsid w:val="0029297F"/>
    <w:rsid w:val="00294E9B"/>
    <w:rsid w:val="002B2080"/>
    <w:rsid w:val="002C46BA"/>
    <w:rsid w:val="002E555C"/>
    <w:rsid w:val="002E7893"/>
    <w:rsid w:val="003011B8"/>
    <w:rsid w:val="00314F96"/>
    <w:rsid w:val="00325937"/>
    <w:rsid w:val="00335226"/>
    <w:rsid w:val="00347E28"/>
    <w:rsid w:val="00361D6C"/>
    <w:rsid w:val="00366BA6"/>
    <w:rsid w:val="003709A1"/>
    <w:rsid w:val="0038771E"/>
    <w:rsid w:val="003A0A01"/>
    <w:rsid w:val="003A4DF2"/>
    <w:rsid w:val="003B065A"/>
    <w:rsid w:val="003B120F"/>
    <w:rsid w:val="003C0505"/>
    <w:rsid w:val="003E5EFE"/>
    <w:rsid w:val="00405F2C"/>
    <w:rsid w:val="00424F19"/>
    <w:rsid w:val="004561B9"/>
    <w:rsid w:val="00464F3F"/>
    <w:rsid w:val="004726B8"/>
    <w:rsid w:val="00473AB6"/>
    <w:rsid w:val="004922A6"/>
    <w:rsid w:val="004A1CF0"/>
    <w:rsid w:val="004A7C77"/>
    <w:rsid w:val="004B7465"/>
    <w:rsid w:val="004C2539"/>
    <w:rsid w:val="004C3AD6"/>
    <w:rsid w:val="004E76F5"/>
    <w:rsid w:val="004F0795"/>
    <w:rsid w:val="004F7F8C"/>
    <w:rsid w:val="0050783C"/>
    <w:rsid w:val="00531DAB"/>
    <w:rsid w:val="00536AFA"/>
    <w:rsid w:val="00537B7A"/>
    <w:rsid w:val="00537C57"/>
    <w:rsid w:val="005459BC"/>
    <w:rsid w:val="0055241C"/>
    <w:rsid w:val="0056083F"/>
    <w:rsid w:val="005662AA"/>
    <w:rsid w:val="00567EB3"/>
    <w:rsid w:val="00571DC3"/>
    <w:rsid w:val="005864EF"/>
    <w:rsid w:val="005A75D2"/>
    <w:rsid w:val="005B0E9B"/>
    <w:rsid w:val="005D0712"/>
    <w:rsid w:val="005E2A0B"/>
    <w:rsid w:val="00606901"/>
    <w:rsid w:val="00627D46"/>
    <w:rsid w:val="00650210"/>
    <w:rsid w:val="0065374A"/>
    <w:rsid w:val="006723B2"/>
    <w:rsid w:val="0069600C"/>
    <w:rsid w:val="006A0394"/>
    <w:rsid w:val="006A1910"/>
    <w:rsid w:val="006B4A08"/>
    <w:rsid w:val="006C43EB"/>
    <w:rsid w:val="006C4466"/>
    <w:rsid w:val="006C6C50"/>
    <w:rsid w:val="006F2B3F"/>
    <w:rsid w:val="00700750"/>
    <w:rsid w:val="00705492"/>
    <w:rsid w:val="00710E38"/>
    <w:rsid w:val="00734CE3"/>
    <w:rsid w:val="00735513"/>
    <w:rsid w:val="00737F34"/>
    <w:rsid w:val="007562FC"/>
    <w:rsid w:val="00761725"/>
    <w:rsid w:val="00770999"/>
    <w:rsid w:val="0079001B"/>
    <w:rsid w:val="00795F61"/>
    <w:rsid w:val="007B2D9C"/>
    <w:rsid w:val="007D2A02"/>
    <w:rsid w:val="00813830"/>
    <w:rsid w:val="0083367C"/>
    <w:rsid w:val="00876305"/>
    <w:rsid w:val="00891DA5"/>
    <w:rsid w:val="008A22B2"/>
    <w:rsid w:val="008B340E"/>
    <w:rsid w:val="008D5042"/>
    <w:rsid w:val="008D5248"/>
    <w:rsid w:val="008D740F"/>
    <w:rsid w:val="008E7856"/>
    <w:rsid w:val="008F23E6"/>
    <w:rsid w:val="008F2CD9"/>
    <w:rsid w:val="00900B41"/>
    <w:rsid w:val="0090157A"/>
    <w:rsid w:val="00905001"/>
    <w:rsid w:val="0091558C"/>
    <w:rsid w:val="00924EDE"/>
    <w:rsid w:val="00933F41"/>
    <w:rsid w:val="009346F4"/>
    <w:rsid w:val="0094194B"/>
    <w:rsid w:val="00974F45"/>
    <w:rsid w:val="00976407"/>
    <w:rsid w:val="009772C7"/>
    <w:rsid w:val="00981EC2"/>
    <w:rsid w:val="00982A72"/>
    <w:rsid w:val="00995B0E"/>
    <w:rsid w:val="00995E14"/>
    <w:rsid w:val="00A12C29"/>
    <w:rsid w:val="00A178AA"/>
    <w:rsid w:val="00A30A49"/>
    <w:rsid w:val="00A41917"/>
    <w:rsid w:val="00A62140"/>
    <w:rsid w:val="00A742BE"/>
    <w:rsid w:val="00A83D8A"/>
    <w:rsid w:val="00A9500F"/>
    <w:rsid w:val="00AC269B"/>
    <w:rsid w:val="00B14E49"/>
    <w:rsid w:val="00B47B14"/>
    <w:rsid w:val="00B674EF"/>
    <w:rsid w:val="00B7135E"/>
    <w:rsid w:val="00B81165"/>
    <w:rsid w:val="00B83DBF"/>
    <w:rsid w:val="00BA0DC3"/>
    <w:rsid w:val="00BA1796"/>
    <w:rsid w:val="00BA341A"/>
    <w:rsid w:val="00BB5CCD"/>
    <w:rsid w:val="00C01068"/>
    <w:rsid w:val="00C01EBA"/>
    <w:rsid w:val="00C22A15"/>
    <w:rsid w:val="00C7178A"/>
    <w:rsid w:val="00C75A25"/>
    <w:rsid w:val="00C825DB"/>
    <w:rsid w:val="00C87909"/>
    <w:rsid w:val="00C92CDB"/>
    <w:rsid w:val="00CB69E1"/>
    <w:rsid w:val="00CD113C"/>
    <w:rsid w:val="00CD1EDD"/>
    <w:rsid w:val="00CD3ECB"/>
    <w:rsid w:val="00CE023D"/>
    <w:rsid w:val="00CE44C9"/>
    <w:rsid w:val="00D1240C"/>
    <w:rsid w:val="00D12A6E"/>
    <w:rsid w:val="00D356FB"/>
    <w:rsid w:val="00D37D9C"/>
    <w:rsid w:val="00D60A1C"/>
    <w:rsid w:val="00D83D82"/>
    <w:rsid w:val="00D92A59"/>
    <w:rsid w:val="00DB4C00"/>
    <w:rsid w:val="00DE7B15"/>
    <w:rsid w:val="00E2657B"/>
    <w:rsid w:val="00E355C6"/>
    <w:rsid w:val="00E479E5"/>
    <w:rsid w:val="00EA2DAE"/>
    <w:rsid w:val="00EB0C38"/>
    <w:rsid w:val="00EC6325"/>
    <w:rsid w:val="00ED0FCD"/>
    <w:rsid w:val="00ED2EDD"/>
    <w:rsid w:val="00ED4A64"/>
    <w:rsid w:val="00F054BC"/>
    <w:rsid w:val="00F10125"/>
    <w:rsid w:val="00F14E88"/>
    <w:rsid w:val="00F203E6"/>
    <w:rsid w:val="00F24D02"/>
    <w:rsid w:val="00F339BD"/>
    <w:rsid w:val="00F414C3"/>
    <w:rsid w:val="00F73E92"/>
    <w:rsid w:val="00F75C3C"/>
    <w:rsid w:val="00F87C66"/>
    <w:rsid w:val="00F94B3C"/>
    <w:rsid w:val="00FA6755"/>
    <w:rsid w:val="00FB2D9A"/>
    <w:rsid w:val="00FC1640"/>
    <w:rsid w:val="00FC55D9"/>
    <w:rsid w:val="00FD401E"/>
    <w:rsid w:val="00FD6E48"/>
    <w:rsid w:val="00FE067F"/>
    <w:rsid w:val="00FE26A3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7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6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6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2B2"/>
  </w:style>
  <w:style w:type="paragraph" w:styleId="Stopka">
    <w:name w:val="footer"/>
    <w:basedOn w:val="Normalny"/>
    <w:link w:val="StopkaZnak"/>
    <w:uiPriority w:val="99"/>
    <w:unhideWhenUsed/>
    <w:rsid w:val="008A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2B2"/>
  </w:style>
  <w:style w:type="paragraph" w:styleId="Tekstdymka">
    <w:name w:val="Balloon Text"/>
    <w:basedOn w:val="Normalny"/>
    <w:link w:val="TekstdymkaZnak"/>
    <w:uiPriority w:val="99"/>
    <w:semiHidden/>
    <w:unhideWhenUsed/>
    <w:rsid w:val="008A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2B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8A22B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A22B2"/>
    <w:rPr>
      <w:rFonts w:eastAsiaTheme="minorEastAsia"/>
    </w:rPr>
  </w:style>
  <w:style w:type="character" w:customStyle="1" w:styleId="tx1">
    <w:name w:val="tx1"/>
    <w:basedOn w:val="Domylnaczcionkaakapitu"/>
    <w:rsid w:val="00261C4B"/>
    <w:rPr>
      <w:rFonts w:ascii="Helvetica" w:hAnsi="Helvetica" w:cs="Helvetica" w:hint="default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D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7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6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6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6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2B2"/>
  </w:style>
  <w:style w:type="paragraph" w:styleId="Stopka">
    <w:name w:val="footer"/>
    <w:basedOn w:val="Normalny"/>
    <w:link w:val="StopkaZnak"/>
    <w:uiPriority w:val="99"/>
    <w:unhideWhenUsed/>
    <w:rsid w:val="008A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2B2"/>
  </w:style>
  <w:style w:type="paragraph" w:styleId="Tekstdymka">
    <w:name w:val="Balloon Text"/>
    <w:basedOn w:val="Normalny"/>
    <w:link w:val="TekstdymkaZnak"/>
    <w:uiPriority w:val="99"/>
    <w:semiHidden/>
    <w:unhideWhenUsed/>
    <w:rsid w:val="008A2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2B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8A22B2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A22B2"/>
    <w:rPr>
      <w:rFonts w:eastAsiaTheme="minorEastAsia"/>
    </w:rPr>
  </w:style>
  <w:style w:type="character" w:customStyle="1" w:styleId="tx1">
    <w:name w:val="tx1"/>
    <w:basedOn w:val="Domylnaczcionkaakapitu"/>
    <w:rsid w:val="00261C4B"/>
    <w:rPr>
      <w:rFonts w:ascii="Helvetica" w:hAnsi="Helvetica" w:cs="Helvetica" w:hint="default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D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Województwo Zachodniopomorskie, 70-540 Szczecin,ul.Korsarzy 34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E2BB1E-C731-4CFE-B173-9F9568F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1586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26</cp:revision>
  <cp:lastPrinted>2016-07-22T12:42:00Z</cp:lastPrinted>
  <dcterms:created xsi:type="dcterms:W3CDTF">2016-08-26T13:12:00Z</dcterms:created>
  <dcterms:modified xsi:type="dcterms:W3CDTF">2016-11-22T12:46:00Z</dcterms:modified>
</cp:coreProperties>
</file>