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7F" w:rsidRPr="003912AF" w:rsidRDefault="0064037F" w:rsidP="0064037F">
      <w:pPr>
        <w:pStyle w:val="Tekstpodstawowy"/>
        <w:spacing w:before="120" w:line="276" w:lineRule="auto"/>
        <w:jc w:val="center"/>
        <w:rPr>
          <w:b/>
          <w:sz w:val="20"/>
          <w:szCs w:val="20"/>
        </w:rPr>
      </w:pPr>
      <w:r w:rsidRPr="003912AF">
        <w:rPr>
          <w:b/>
          <w:sz w:val="20"/>
          <w:szCs w:val="20"/>
        </w:rPr>
        <w:t>Uzasadnienie</w:t>
      </w:r>
    </w:p>
    <w:p w:rsidR="0064037F" w:rsidRPr="003912AF" w:rsidRDefault="0064037F" w:rsidP="0064037F">
      <w:pPr>
        <w:spacing w:before="120" w:line="276" w:lineRule="auto"/>
        <w:jc w:val="both"/>
        <w:rPr>
          <w:rFonts w:ascii="Arial" w:hAnsi="Arial" w:cs="Arial"/>
        </w:rPr>
      </w:pPr>
      <w:r w:rsidRPr="003912AF">
        <w:rPr>
          <w:rFonts w:ascii="Arial" w:hAnsi="Arial" w:cs="Arial"/>
        </w:rPr>
        <w:t>Mając na uwadze potrzeby województwa w zakresie upowszechniania wiedzy oraz prowadzenia dialogu w obszarach przedsiębiorczości, innowacji i możliwości finansowania rozwoju gospodarczego regionu, Wydział</w:t>
      </w:r>
      <w:r>
        <w:rPr>
          <w:rFonts w:ascii="Arial" w:hAnsi="Arial" w:cs="Arial"/>
        </w:rPr>
        <w:t xml:space="preserve"> </w:t>
      </w:r>
      <w:r w:rsidRPr="003912AF">
        <w:rPr>
          <w:rFonts w:ascii="Arial" w:hAnsi="Arial" w:cs="Arial"/>
        </w:rPr>
        <w:t>Współpracy Terytorialnej oraz Wydział Zarządzania Strategicznego zaplanowały organizację dwudniowej konferencji w ramach</w:t>
      </w:r>
      <w:r>
        <w:rPr>
          <w:rFonts w:ascii="Arial" w:hAnsi="Arial" w:cs="Arial"/>
        </w:rPr>
        <w:t xml:space="preserve"> </w:t>
      </w:r>
      <w:bookmarkStart w:id="0" w:name="_GoBack"/>
      <w:r w:rsidRPr="003912AF">
        <w:rPr>
          <w:rFonts w:ascii="Arial" w:hAnsi="Arial" w:cs="Arial"/>
        </w:rPr>
        <w:t xml:space="preserve">„Zachodniopomorskich Dni Przedsiębiorczości </w:t>
      </w:r>
      <w:r>
        <w:rPr>
          <w:rFonts w:ascii="Arial" w:hAnsi="Arial" w:cs="Arial"/>
        </w:rPr>
        <w:br/>
      </w:r>
      <w:r w:rsidRPr="003912AF">
        <w:rPr>
          <w:rFonts w:ascii="Arial" w:hAnsi="Arial" w:cs="Arial"/>
        </w:rPr>
        <w:t>i Innowacji”.</w:t>
      </w:r>
    </w:p>
    <w:bookmarkEnd w:id="0"/>
    <w:p w:rsidR="0064037F" w:rsidRPr="003912AF" w:rsidRDefault="0064037F" w:rsidP="0064037F">
      <w:pPr>
        <w:spacing w:before="120" w:line="276" w:lineRule="auto"/>
        <w:jc w:val="both"/>
        <w:rPr>
          <w:rFonts w:ascii="Arial" w:hAnsi="Arial" w:cs="Arial"/>
        </w:rPr>
      </w:pPr>
      <w:r w:rsidRPr="003912AF">
        <w:rPr>
          <w:rFonts w:ascii="Arial" w:hAnsi="Arial" w:cs="Arial"/>
        </w:rPr>
        <w:t xml:space="preserve">Głównym celem organizacji przedsięwzięcia jest wzmocnienie systemu wsparcia innowacji </w:t>
      </w:r>
      <w:r w:rsidRPr="003912AF">
        <w:rPr>
          <w:rFonts w:ascii="Arial" w:hAnsi="Arial" w:cs="Arial"/>
        </w:rPr>
        <w:br/>
        <w:t>i przedsiębiorczości w regionie poprzez podniesienie wiedzy na temat najnowszych rozwiązań w tym obszarze oraz wymianę poglądów i doświadczeń pomiędzy aktorami regionalnego systemu innowacji, środowiska start-</w:t>
      </w:r>
      <w:proofErr w:type="spellStart"/>
      <w:r w:rsidRPr="003912AF">
        <w:rPr>
          <w:rFonts w:ascii="Arial" w:hAnsi="Arial" w:cs="Arial"/>
        </w:rPr>
        <w:t>upowego</w:t>
      </w:r>
      <w:proofErr w:type="spellEnd"/>
      <w:r w:rsidRPr="003912AF">
        <w:rPr>
          <w:rFonts w:ascii="Arial" w:hAnsi="Arial" w:cs="Arial"/>
        </w:rPr>
        <w:t xml:space="preserve"> i finansowego.</w:t>
      </w:r>
    </w:p>
    <w:p w:rsidR="0064037F" w:rsidRPr="003912AF" w:rsidRDefault="0064037F" w:rsidP="0064037F">
      <w:pPr>
        <w:spacing w:before="120" w:line="276" w:lineRule="auto"/>
        <w:jc w:val="both"/>
        <w:rPr>
          <w:rFonts w:ascii="Arial" w:hAnsi="Arial" w:cs="Arial"/>
        </w:rPr>
      </w:pPr>
      <w:r w:rsidRPr="003912AF">
        <w:rPr>
          <w:rFonts w:ascii="Arial" w:hAnsi="Arial" w:cs="Arial"/>
        </w:rPr>
        <w:t>Natomiast cele szczegółowe to:</w:t>
      </w:r>
    </w:p>
    <w:p w:rsidR="0064037F" w:rsidRPr="003912AF" w:rsidRDefault="0064037F" w:rsidP="0064037F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3912AF">
        <w:rPr>
          <w:rFonts w:ascii="Arial" w:hAnsi="Arial" w:cs="Arial"/>
        </w:rPr>
        <w:t>wsparcie dla rozwoju inicjatyw start-</w:t>
      </w:r>
      <w:proofErr w:type="spellStart"/>
      <w:r w:rsidRPr="003912AF">
        <w:rPr>
          <w:rFonts w:ascii="Arial" w:hAnsi="Arial" w:cs="Arial"/>
        </w:rPr>
        <w:t>upowych</w:t>
      </w:r>
      <w:proofErr w:type="spellEnd"/>
      <w:r w:rsidRPr="003912AF">
        <w:rPr>
          <w:rFonts w:ascii="Arial" w:hAnsi="Arial" w:cs="Arial"/>
        </w:rPr>
        <w:t xml:space="preserve"> w regionie,</w:t>
      </w:r>
    </w:p>
    <w:p w:rsidR="0064037F" w:rsidRPr="003912AF" w:rsidRDefault="0064037F" w:rsidP="0064037F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3912AF">
        <w:rPr>
          <w:rFonts w:ascii="Arial" w:hAnsi="Arial" w:cs="Arial"/>
        </w:rPr>
        <w:t>konsolidacja środowiska podmiotów tworzących regionalny ekosystem innowacji,</w:t>
      </w:r>
    </w:p>
    <w:p w:rsidR="0064037F" w:rsidRPr="003912AF" w:rsidRDefault="0064037F" w:rsidP="0064037F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3912AF">
        <w:rPr>
          <w:rFonts w:ascii="Arial" w:hAnsi="Arial" w:cs="Arial"/>
        </w:rPr>
        <w:t xml:space="preserve">stworzenie płaszczyzny wymiany myśli i poglądów w obszarze wsparcia przedsiębiorczości </w:t>
      </w:r>
      <w:r w:rsidRPr="003912AF">
        <w:rPr>
          <w:rFonts w:ascii="Arial" w:hAnsi="Arial" w:cs="Arial"/>
        </w:rPr>
        <w:br/>
        <w:t>i innowacji,</w:t>
      </w:r>
    </w:p>
    <w:p w:rsidR="0064037F" w:rsidRPr="003912AF" w:rsidRDefault="0064037F" w:rsidP="0064037F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3912AF">
        <w:rPr>
          <w:rFonts w:ascii="Arial" w:hAnsi="Arial" w:cs="Arial"/>
        </w:rPr>
        <w:t>podniesienie wiedzy i kompetencji lokalnych instytucji otoczenia biznesu</w:t>
      </w:r>
      <w:r>
        <w:rPr>
          <w:rFonts w:ascii="Arial" w:hAnsi="Arial" w:cs="Arial"/>
        </w:rPr>
        <w:t xml:space="preserve"> (IOB)</w:t>
      </w:r>
      <w:r w:rsidRPr="003912AF">
        <w:rPr>
          <w:rFonts w:ascii="Arial" w:hAnsi="Arial" w:cs="Arial"/>
        </w:rPr>
        <w:t>,</w:t>
      </w:r>
    </w:p>
    <w:p w:rsidR="0064037F" w:rsidRPr="003912AF" w:rsidRDefault="0064037F" w:rsidP="0064037F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3912AF">
        <w:rPr>
          <w:rFonts w:ascii="Arial" w:hAnsi="Arial" w:cs="Arial"/>
        </w:rPr>
        <w:t>wzmocni</w:t>
      </w:r>
      <w:r>
        <w:rPr>
          <w:rFonts w:ascii="Arial" w:hAnsi="Arial" w:cs="Arial"/>
        </w:rPr>
        <w:t>enie współpracy biznesu z nauką.</w:t>
      </w:r>
    </w:p>
    <w:p w:rsidR="0064037F" w:rsidRPr="003912AF" w:rsidRDefault="0064037F" w:rsidP="0064037F">
      <w:pPr>
        <w:spacing w:before="120" w:line="276" w:lineRule="auto"/>
        <w:jc w:val="both"/>
        <w:rPr>
          <w:rFonts w:ascii="Arial" w:hAnsi="Arial" w:cs="Arial"/>
          <w:noProof/>
        </w:rPr>
      </w:pPr>
      <w:r w:rsidRPr="003912AF">
        <w:rPr>
          <w:rFonts w:ascii="Arial" w:hAnsi="Arial" w:cs="Arial"/>
          <w:noProof/>
        </w:rPr>
        <w:t>Głównym organizatorem wydarzenia jest Województwo Zachodniopomorskie, do współpracy zaproszone zostaną również instytucje otoczenia biznesu wspierające regionalny ekosystem przedsiębiorczości, w tym instytucje sektora kreatywnego (wynalazcy z sektora nauki, start-upy technologiczne, projektanci), instytucje biznesu różnych branż i sektorów (m.in. biotechnologia, nanotechnologia, robotyka, IT, wzornictwo przemysłowe, itp.) oraz instytucje rynku finansowego (fundusze VC, Inkubatory, Anioły Biznesu). Realizacja działania przyczyni się do promocji potencjału sektora przedsiębiorczości i innowacji w regionie.</w:t>
      </w:r>
    </w:p>
    <w:p w:rsidR="0064037F" w:rsidRPr="003912AF" w:rsidRDefault="0064037F" w:rsidP="0064037F">
      <w:pPr>
        <w:spacing w:before="120" w:line="276" w:lineRule="auto"/>
        <w:jc w:val="both"/>
        <w:rPr>
          <w:rFonts w:ascii="Arial" w:hAnsi="Arial" w:cs="Arial"/>
          <w:noProof/>
        </w:rPr>
      </w:pPr>
      <w:r w:rsidRPr="003912AF">
        <w:rPr>
          <w:rFonts w:ascii="Arial" w:hAnsi="Arial" w:cs="Arial"/>
          <w:noProof/>
        </w:rPr>
        <w:t>Wydarzenie jest p</w:t>
      </w:r>
      <w:r>
        <w:rPr>
          <w:rFonts w:ascii="Arial" w:hAnsi="Arial" w:cs="Arial"/>
          <w:noProof/>
        </w:rPr>
        <w:t>ołą</w:t>
      </w:r>
      <w:r w:rsidRPr="003912AF">
        <w:rPr>
          <w:rFonts w:ascii="Arial" w:hAnsi="Arial" w:cs="Arial"/>
          <w:noProof/>
        </w:rPr>
        <w:t>czeniem dwóch wcześniej</w:t>
      </w:r>
      <w:r>
        <w:rPr>
          <w:rFonts w:ascii="Arial" w:hAnsi="Arial" w:cs="Arial"/>
          <w:noProof/>
        </w:rPr>
        <w:t xml:space="preserve"> </w:t>
      </w:r>
      <w:r w:rsidRPr="003912AF">
        <w:rPr>
          <w:rFonts w:ascii="Arial" w:hAnsi="Arial" w:cs="Arial"/>
          <w:noProof/>
        </w:rPr>
        <w:t>zaplanow</w:t>
      </w:r>
      <w:r>
        <w:rPr>
          <w:rFonts w:ascii="Arial" w:hAnsi="Arial" w:cs="Arial"/>
          <w:noProof/>
        </w:rPr>
        <w:t>a</w:t>
      </w:r>
      <w:r w:rsidRPr="003912AF">
        <w:rPr>
          <w:rFonts w:ascii="Arial" w:hAnsi="Arial" w:cs="Arial"/>
          <w:noProof/>
        </w:rPr>
        <w:t>nych konfer</w:t>
      </w:r>
      <w:r>
        <w:rPr>
          <w:rFonts w:ascii="Arial" w:hAnsi="Arial" w:cs="Arial"/>
          <w:noProof/>
        </w:rPr>
        <w:t>e</w:t>
      </w:r>
      <w:r w:rsidRPr="003912AF">
        <w:rPr>
          <w:rFonts w:ascii="Arial" w:hAnsi="Arial" w:cs="Arial"/>
          <w:noProof/>
        </w:rPr>
        <w:t xml:space="preserve">ncji: Forum Innowacji oraz Start-up Day (nowego wydarzenia, którego idea powstania została zapoczątkowana podczas spotkań lokalnej sieci interesariuszy projektu iEER). Za </w:t>
      </w:r>
      <w:r w:rsidRPr="00655BCC">
        <w:rPr>
          <w:rFonts w:ascii="Arial" w:hAnsi="Arial" w:cs="Arial"/>
          <w:noProof/>
        </w:rPr>
        <w:t>połączeniem</w:t>
      </w:r>
      <w:r w:rsidRPr="003912AF">
        <w:rPr>
          <w:rFonts w:ascii="Arial" w:hAnsi="Arial" w:cs="Arial"/>
          <w:noProof/>
        </w:rPr>
        <w:t xml:space="preserve"> wydarzeń przemówił fakt, iż obydwie konfe</w:t>
      </w:r>
      <w:r>
        <w:rPr>
          <w:rFonts w:ascii="Arial" w:hAnsi="Arial" w:cs="Arial"/>
          <w:noProof/>
        </w:rPr>
        <w:t>rencje</w:t>
      </w:r>
      <w:r w:rsidRPr="003912AF">
        <w:rPr>
          <w:rFonts w:ascii="Arial" w:hAnsi="Arial" w:cs="Arial"/>
          <w:noProof/>
        </w:rPr>
        <w:t xml:space="preserve"> charakteryzuje podobna idea oraz grupa docelowa. Ich istotnym celem jest cementowanie współpracy środowiska IOB i przedsiębiorstw. Ponadto dzięki takiemu podejściu zostanie zapewnione większe zainteresowanie potencjalnych uczestników oraz sieciowanie środowiska.</w:t>
      </w:r>
    </w:p>
    <w:p w:rsidR="0064037F" w:rsidRPr="003912AF" w:rsidRDefault="0064037F" w:rsidP="0064037F">
      <w:pPr>
        <w:spacing w:before="120" w:line="276" w:lineRule="auto"/>
        <w:jc w:val="both"/>
        <w:rPr>
          <w:rFonts w:ascii="Arial" w:hAnsi="Arial" w:cs="Arial"/>
        </w:rPr>
      </w:pPr>
      <w:r w:rsidRPr="003912AF">
        <w:rPr>
          <w:rFonts w:ascii="Arial" w:hAnsi="Arial" w:cs="Arial"/>
          <w:noProof/>
        </w:rPr>
        <w:t xml:space="preserve">Program konferencji obejmie wystąpienia i prezentacje osób rozpoznawalnych w skali regionu </w:t>
      </w:r>
      <w:r w:rsidRPr="003912AF">
        <w:rPr>
          <w:rFonts w:ascii="Arial" w:hAnsi="Arial" w:cs="Arial"/>
          <w:noProof/>
        </w:rPr>
        <w:br/>
        <w:t xml:space="preserve">i kraju, w tym praktyków posiadających głęboką wiedzę i doświadczenie we wdrażaniu innowacji stworzonych we współpracy nauki i biznesu (np. innowatorów, naukowców, biznesmenów lub dziennikarzy), animacji środowiska start-upowego, efektywnego wykorzystania potencjału IOB </w:t>
      </w:r>
      <w:r>
        <w:rPr>
          <w:rFonts w:ascii="Arial" w:hAnsi="Arial" w:cs="Arial"/>
          <w:noProof/>
        </w:rPr>
        <w:br/>
      </w:r>
      <w:r w:rsidRPr="003912AF">
        <w:rPr>
          <w:rFonts w:ascii="Arial" w:hAnsi="Arial" w:cs="Arial"/>
          <w:noProof/>
        </w:rPr>
        <w:t xml:space="preserve">w regionach itp. </w:t>
      </w:r>
    </w:p>
    <w:p w:rsidR="0064037F" w:rsidRDefault="0064037F" w:rsidP="0064037F">
      <w:pPr>
        <w:spacing w:before="120" w:line="276" w:lineRule="auto"/>
        <w:rPr>
          <w:rFonts w:ascii="Arial" w:hAnsi="Arial" w:cs="Arial"/>
        </w:rPr>
      </w:pPr>
    </w:p>
    <w:p w:rsidR="00CC07B4" w:rsidRDefault="0064037F"/>
    <w:sectPr w:rsidR="00CC07B4" w:rsidSect="00862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FAD"/>
    <w:multiLevelType w:val="hybridMultilevel"/>
    <w:tmpl w:val="34BEEE7C"/>
    <w:lvl w:ilvl="0" w:tplc="1BBAEF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7F"/>
    <w:rsid w:val="001C1175"/>
    <w:rsid w:val="0064037F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37F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64037F"/>
    <w:rPr>
      <w:rFonts w:ascii="Arial" w:eastAsia="Calibri" w:hAnsi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037F"/>
    <w:rPr>
      <w:rFonts w:ascii="Arial" w:eastAsia="Calibri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4037F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99"/>
    <w:locked/>
    <w:rsid w:val="0064037F"/>
    <w:rPr>
      <w:rFonts w:ascii="Calibri" w:eastAsia="Calibri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37F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64037F"/>
    <w:rPr>
      <w:rFonts w:ascii="Arial" w:eastAsia="Calibri" w:hAnsi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037F"/>
    <w:rPr>
      <w:rFonts w:ascii="Arial" w:eastAsia="Calibri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4037F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99"/>
    <w:locked/>
    <w:rsid w:val="0064037F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2018-05-14T08:49:00Z</dcterms:created>
  <dcterms:modified xsi:type="dcterms:W3CDTF">2018-05-14T08:51:00Z</dcterms:modified>
</cp:coreProperties>
</file>