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F0" w:rsidRDefault="00E30EF0" w:rsidP="00E30EF0">
      <w:pPr>
        <w:pStyle w:val="Tekstpodstawowy"/>
        <w:ind w:left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Uzasadnienie</w:t>
      </w:r>
    </w:p>
    <w:p w:rsidR="00E30EF0" w:rsidRDefault="00E30EF0" w:rsidP="00E30EF0">
      <w:pPr>
        <w:pStyle w:val="Tekstpodstawowy"/>
        <w:ind w:left="284"/>
        <w:jc w:val="center"/>
        <w:rPr>
          <w:rFonts w:ascii="Arial" w:hAnsi="Arial" w:cs="Arial"/>
          <w:b/>
          <w:sz w:val="20"/>
        </w:rPr>
      </w:pPr>
    </w:p>
    <w:p w:rsidR="00E30EF0" w:rsidRDefault="00E30EF0" w:rsidP="00E30EF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wyrażeniem zgody Rządu Republiki Chorwacji na wprowadzenie zmian </w:t>
      </w:r>
      <w:r>
        <w:rPr>
          <w:rFonts w:ascii="Arial" w:hAnsi="Arial" w:cs="Arial"/>
        </w:rPr>
        <w:br/>
        <w:t xml:space="preserve">do Statutu i Konwencji Środkowoeuropejskiego Korytarza Transportowego Europejskiego Ugrupowania Współpracy Terytorialnej z ograniczoną odpowiedzialnością dla Komitatu </w:t>
      </w:r>
      <w:proofErr w:type="spellStart"/>
      <w:r>
        <w:rPr>
          <w:rFonts w:ascii="Arial" w:hAnsi="Arial" w:cs="Arial"/>
        </w:rPr>
        <w:t>Karlovačka</w:t>
      </w:r>
      <w:proofErr w:type="spellEnd"/>
      <w:r>
        <w:rPr>
          <w:rFonts w:ascii="Arial" w:hAnsi="Arial" w:cs="Arial"/>
        </w:rPr>
        <w:t xml:space="preserve">, Komitatu </w:t>
      </w:r>
      <w:proofErr w:type="spellStart"/>
      <w:r>
        <w:rPr>
          <w:rFonts w:ascii="Arial" w:hAnsi="Arial" w:cs="Arial"/>
        </w:rPr>
        <w:t>Varaždin</w:t>
      </w:r>
      <w:proofErr w:type="spellEnd"/>
      <w:r>
        <w:rPr>
          <w:rFonts w:ascii="Arial" w:hAnsi="Arial" w:cs="Arial"/>
        </w:rPr>
        <w:t xml:space="preserve"> oraz Komitatu </w:t>
      </w:r>
      <w:proofErr w:type="spellStart"/>
      <w:r>
        <w:rPr>
          <w:rFonts w:ascii="Arial" w:hAnsi="Arial" w:cs="Arial"/>
        </w:rPr>
        <w:t>Primorje</w:t>
      </w:r>
      <w:proofErr w:type="spellEnd"/>
      <w:r>
        <w:rPr>
          <w:rFonts w:ascii="Arial" w:hAnsi="Arial" w:cs="Arial"/>
        </w:rPr>
        <w:t>-Gorski Kotar (</w:t>
      </w:r>
      <w:r>
        <w:rPr>
          <w:rFonts w:ascii="Arial" w:hAnsi="Arial" w:cs="Arial"/>
          <w:iCs/>
          <w:color w:val="000000"/>
        </w:rPr>
        <w:t>n</w:t>
      </w:r>
      <w:r>
        <w:rPr>
          <w:rFonts w:ascii="Arial" w:hAnsi="Arial" w:cs="Arial"/>
        </w:rPr>
        <w:t>a podstawie</w:t>
      </w:r>
      <w:r>
        <w:rPr>
          <w:rFonts w:ascii="Arial" w:hAnsi="Arial" w:cs="Arial"/>
          <w:bCs/>
        </w:rPr>
        <w:t xml:space="preserve"> art. 4. i 5. Rozporządzenia Parlamentu Europejskiego i Rady (UE) Nr 1082/2006 wraz z późniejszymi zmianami oraz </w:t>
      </w:r>
      <w:r>
        <w:rPr>
          <w:rFonts w:ascii="Arial" w:hAnsi="Arial" w:cs="Arial"/>
          <w:bCs/>
        </w:rPr>
        <w:br/>
        <w:t xml:space="preserve">art. 16 Statutu), Województwo Zachodniopomorskie jest zobowiązane do zaakceptowania zmian wprowadzanych do dokumentów założycielskich Ugrupowania. </w:t>
      </w:r>
    </w:p>
    <w:p w:rsidR="00E30EF0" w:rsidRDefault="00E30EF0" w:rsidP="00E30EF0">
      <w:pPr>
        <w:spacing w:before="1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</w:rPr>
        <w:t xml:space="preserve">Zgodnie z </w:t>
      </w:r>
      <w:r>
        <w:rPr>
          <w:rFonts w:ascii="Arial" w:hAnsi="Arial" w:cs="Arial"/>
          <w:bCs/>
        </w:rPr>
        <w:t xml:space="preserve">art. 16 Statutu </w:t>
      </w:r>
      <w:r>
        <w:rPr>
          <w:rFonts w:ascii="Arial" w:hAnsi="Arial" w:cs="Arial"/>
        </w:rPr>
        <w:t xml:space="preserve">Środkowoeuropejskiego Korytarza Transportowego Europejskiego Ugrupowania Współpracy Terytorialnej z ograniczoną odpowiedzialnością do </w:t>
      </w:r>
      <w:r>
        <w:rPr>
          <w:rFonts w:ascii="Arial" w:hAnsi="Arial" w:cs="Arial"/>
          <w:bCs/>
        </w:rPr>
        <w:t xml:space="preserve">Ugrupowania </w:t>
      </w:r>
      <w:r>
        <w:rPr>
          <w:rFonts w:ascii="Arial" w:hAnsi="Arial" w:cs="Arial"/>
        </w:rPr>
        <w:t xml:space="preserve"> przystąpić mogą nowi członkowie. Komitaty chorwackie zainteresowane członkostwem złożyły pisemny wniosek o przyjęcie w poczet członków Ugrupowania we wrześniu br. Zgromadzenie Ogólne ŚKT-EUWT z o.o. przyjmie </w:t>
      </w:r>
      <w:r>
        <w:rPr>
          <w:rFonts w:ascii="Arial" w:hAnsi="Arial" w:cs="Arial"/>
          <w:bCs/>
        </w:rPr>
        <w:t xml:space="preserve">uchwałę o przyjęciu nowych członków, </w:t>
      </w:r>
      <w:r>
        <w:rPr>
          <w:rFonts w:ascii="Arial" w:hAnsi="Arial" w:cs="Arial"/>
        </w:rPr>
        <w:t xml:space="preserve">podczas najbliższego posiedzenia. </w:t>
      </w:r>
      <w:r>
        <w:rPr>
          <w:rFonts w:ascii="Arial" w:hAnsi="Arial" w:cs="Arial"/>
          <w:bCs/>
        </w:rPr>
        <w:t xml:space="preserve">O ile uchwała Zgromadzenia Ogólnego zostanie podjęta jednogłośnie, podpisany zostanie z podmiotami wnioskującymi Dokument Akcesji, stanowiący załącznik nr 2 do Konwencji Ugrupowania.  </w:t>
      </w:r>
    </w:p>
    <w:p w:rsidR="00E30EF0" w:rsidRDefault="00E30EF0" w:rsidP="00E30EF0">
      <w:pPr>
        <w:pStyle w:val="Akapitzlist"/>
        <w:spacing w:before="120" w:line="276" w:lineRule="auto"/>
        <w:ind w:left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Poszczególni członkowie, w tym Województwo Zachodniopomorskie, zwracają się do swoich Ministerstw odpowiedzialnych za kwestie EUWT o zatwierdzenie zmian do Konwencji i Statutu zgodnie z art. 4 ww. Rozporządzenia, przekazując uchwałę Zgromadzenia Ogólnego. Zgodnie </w:t>
      </w:r>
      <w:r>
        <w:rPr>
          <w:rFonts w:ascii="Arial" w:hAnsi="Arial" w:cs="Arial"/>
          <w:sz w:val="20"/>
          <w:szCs w:val="20"/>
        </w:rPr>
        <w:br/>
        <w:t xml:space="preserve">z sugestią Ministerstwa Spraw Zagranicznych RP, prawnik Ugrupowania zweryfikował </w:t>
      </w:r>
      <w:r>
        <w:rPr>
          <w:rFonts w:ascii="Arial" w:hAnsi="Arial" w:cs="Arial"/>
          <w:iCs/>
          <w:sz w:val="20"/>
          <w:szCs w:val="20"/>
        </w:rPr>
        <w:t xml:space="preserve">ustawę </w:t>
      </w:r>
      <w:r>
        <w:rPr>
          <w:rFonts w:ascii="Arial" w:hAnsi="Arial" w:cs="Arial"/>
          <w:iCs/>
          <w:sz w:val="20"/>
          <w:szCs w:val="20"/>
        </w:rPr>
        <w:br/>
        <w:t>o samorządzie województwa pod kątem uchwał, które obligatoryjnie muszą podejmować Sejmiki Województw. W przypadku zmian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do Konwencji i Statutu związanych z przystąpieniem nowych członków nie ma takiego obowiązku. </w:t>
      </w:r>
    </w:p>
    <w:p w:rsidR="00E30EF0" w:rsidRDefault="00E30EF0" w:rsidP="00E30EF0">
      <w:pPr>
        <w:spacing w:before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30EF0" w:rsidRPr="0005285C" w:rsidRDefault="00E30EF0" w:rsidP="00E30EF0">
      <w:pPr>
        <w:rPr>
          <w:rFonts w:ascii="Arial" w:hAnsi="Arial" w:cs="Arial"/>
        </w:rPr>
      </w:pPr>
    </w:p>
    <w:p w:rsidR="00355670" w:rsidRDefault="00355670">
      <w:bookmarkStart w:id="0" w:name="_GoBack"/>
      <w:bookmarkEnd w:id="0"/>
    </w:p>
    <w:sectPr w:rsidR="0035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F0"/>
    <w:rsid w:val="00355670"/>
    <w:rsid w:val="00E3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30EF0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30E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30EF0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E30E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30EF0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30E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30EF0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E30E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2015-11-02T13:19:00Z</dcterms:created>
  <dcterms:modified xsi:type="dcterms:W3CDTF">2015-11-02T13:20:00Z</dcterms:modified>
</cp:coreProperties>
</file>