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do uchwały </w:t>
      </w:r>
      <w:r w:rsidR="00941860">
        <w:rPr>
          <w:rFonts w:ascii="Arial" w:hAnsi="Arial" w:cs="Arial"/>
          <w:bCs/>
          <w:sz w:val="16"/>
          <w:szCs w:val="16"/>
        </w:rPr>
        <w:t>576/18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</w:t>
      </w:r>
      <w:r w:rsidR="00A203C2">
        <w:rPr>
          <w:rFonts w:ascii="Arial" w:hAnsi="Arial" w:cs="Arial"/>
          <w:bCs/>
          <w:sz w:val="16"/>
          <w:szCs w:val="16"/>
        </w:rPr>
        <w:t xml:space="preserve">dnia </w:t>
      </w:r>
      <w:r w:rsidR="00941860">
        <w:rPr>
          <w:rFonts w:ascii="Arial" w:hAnsi="Arial" w:cs="Arial"/>
          <w:bCs/>
          <w:sz w:val="16"/>
          <w:szCs w:val="16"/>
        </w:rPr>
        <w:t>09.04.2018 r.</w:t>
      </w:r>
      <w:bookmarkStart w:id="0" w:name="_GoBack"/>
      <w:bookmarkEnd w:id="0"/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</w:t>
      </w:r>
      <w:r w:rsidR="008E7AB1">
        <w:rPr>
          <w:rFonts w:ascii="Arial" w:hAnsi="Arial" w:cs="Arial"/>
          <w:sz w:val="20"/>
          <w:szCs w:val="20"/>
        </w:rPr>
        <w:t>68a</w:t>
      </w:r>
      <w:r w:rsidR="008E7AB1" w:rsidRPr="002D1F16">
        <w:rPr>
          <w:rFonts w:ascii="Arial" w:hAnsi="Arial" w:cs="Arial"/>
          <w:sz w:val="20"/>
          <w:szCs w:val="20"/>
        </w:rPr>
        <w:t xml:space="preserve"> </w:t>
      </w:r>
      <w:r w:rsidR="00081710" w:rsidRPr="008C28D2">
        <w:rPr>
          <w:rFonts w:ascii="Arial" w:hAnsi="Arial" w:cs="Arial"/>
          <w:sz w:val="20"/>
          <w:szCs w:val="20"/>
        </w:rPr>
        <w:t xml:space="preserve">ust. </w:t>
      </w:r>
      <w:r w:rsidR="00B81623">
        <w:rPr>
          <w:rFonts w:ascii="Arial" w:hAnsi="Arial" w:cs="Arial"/>
          <w:sz w:val="20"/>
          <w:szCs w:val="20"/>
        </w:rPr>
        <w:t>1</w:t>
      </w:r>
      <w:r w:rsidR="00081710" w:rsidRPr="008C28D2">
        <w:rPr>
          <w:rFonts w:ascii="Arial" w:hAnsi="Arial" w:cs="Arial"/>
          <w:sz w:val="20"/>
          <w:szCs w:val="20"/>
        </w:rPr>
        <w:t xml:space="preserve">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</w:t>
      </w:r>
      <w:r w:rsidR="00A203C2">
        <w:rPr>
          <w:rFonts w:ascii="Arial" w:hAnsi="Arial" w:cs="Arial"/>
          <w:sz w:val="20"/>
          <w:szCs w:val="20"/>
        </w:rPr>
        <w:t xml:space="preserve">/ Komisji Oceny Koncepcji Kontraktów Samorządowych (dalej KOKKS) </w:t>
      </w:r>
      <w:r w:rsidRPr="002D1F16">
        <w:rPr>
          <w:rFonts w:ascii="Arial" w:hAnsi="Arial" w:cs="Arial"/>
          <w:sz w:val="20"/>
          <w:szCs w:val="20"/>
        </w:rPr>
        <w:t xml:space="preserve">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przysługuje wynagrodzenie za każdą należycie wykonaną w ramach KOP</w:t>
      </w:r>
      <w:r w:rsidR="00A203C2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</w:t>
      </w:r>
      <w:r w:rsidR="00523A65">
        <w:rPr>
          <w:rFonts w:ascii="Arial" w:hAnsi="Arial" w:cs="Arial"/>
          <w:sz w:val="20"/>
          <w:szCs w:val="20"/>
        </w:rPr>
        <w:t>„O</w:t>
      </w:r>
      <w:r w:rsidR="000E7EAE" w:rsidRPr="002D1F16">
        <w:rPr>
          <w:rFonts w:ascii="Arial" w:hAnsi="Arial" w:cs="Arial"/>
          <w:sz w:val="20"/>
          <w:szCs w:val="20"/>
        </w:rPr>
        <w:t>cena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E7EAE" w:rsidRPr="002D1F16">
        <w:rPr>
          <w:rFonts w:ascii="Arial" w:hAnsi="Arial" w:cs="Arial"/>
          <w:sz w:val="20"/>
          <w:szCs w:val="20"/>
        </w:rPr>
        <w:t>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„Analiza </w:t>
      </w:r>
      <w:r w:rsidR="00523A65">
        <w:rPr>
          <w:rFonts w:ascii="Arial" w:hAnsi="Arial" w:cs="Arial"/>
          <w:sz w:val="20"/>
          <w:szCs w:val="20"/>
        </w:rPr>
        <w:t>ekonomiczno-finansowa</w:t>
      </w:r>
      <w:r w:rsidR="000E7EAE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oceny </w:t>
      </w:r>
      <w:r w:rsidR="000E7EAE" w:rsidRPr="002D1F16">
        <w:rPr>
          <w:rFonts w:ascii="Arial" w:hAnsi="Arial" w:cs="Arial"/>
          <w:sz w:val="20"/>
          <w:szCs w:val="20"/>
        </w:rPr>
        <w:t xml:space="preserve">w danej dziedzinie </w:t>
      </w:r>
      <w:r w:rsidRPr="002D1F16">
        <w:rPr>
          <w:rFonts w:ascii="Arial" w:hAnsi="Arial" w:cs="Arial"/>
          <w:sz w:val="20"/>
          <w:szCs w:val="20"/>
        </w:rPr>
        <w:t>merytoryczno-technicznej</w:t>
      </w:r>
      <w:r w:rsidR="00B81623">
        <w:rPr>
          <w:rFonts w:ascii="Arial" w:hAnsi="Arial" w:cs="Arial"/>
          <w:sz w:val="20"/>
          <w:szCs w:val="20"/>
        </w:rPr>
        <w:t xml:space="preserve"> z wyłączeniem </w:t>
      </w:r>
      <w:r w:rsidR="0049023F">
        <w:rPr>
          <w:rFonts w:ascii="Arial" w:hAnsi="Arial" w:cs="Arial"/>
          <w:sz w:val="20"/>
          <w:szCs w:val="20"/>
        </w:rPr>
        <w:t>D</w:t>
      </w:r>
      <w:r w:rsidR="00B81623">
        <w:rPr>
          <w:rFonts w:ascii="Arial" w:hAnsi="Arial" w:cs="Arial"/>
          <w:sz w:val="20"/>
          <w:szCs w:val="20"/>
        </w:rPr>
        <w:t xml:space="preserve">ziałania 1.1 </w:t>
      </w:r>
      <w:r w:rsidR="0049023F">
        <w:rPr>
          <w:rFonts w:ascii="Arial" w:hAnsi="Arial" w:cs="Arial"/>
          <w:sz w:val="20"/>
          <w:szCs w:val="20"/>
        </w:rPr>
        <w:t>typ</w:t>
      </w:r>
      <w:r w:rsidR="00B81623">
        <w:rPr>
          <w:rFonts w:ascii="Arial" w:hAnsi="Arial" w:cs="Arial"/>
          <w:sz w:val="20"/>
          <w:szCs w:val="20"/>
        </w:rPr>
        <w:t xml:space="preserve"> 2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49023F" w:rsidRPr="002D1F16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300 zł – Działanie 1.1 typ 2 </w:t>
      </w:r>
      <w:r w:rsidRPr="002D1F16">
        <w:rPr>
          <w:rFonts w:ascii="Arial" w:hAnsi="Arial" w:cs="Arial"/>
          <w:sz w:val="20"/>
          <w:szCs w:val="20"/>
        </w:rPr>
        <w:t>w ramach dziedziny</w:t>
      </w:r>
      <w:r>
        <w:rPr>
          <w:rFonts w:ascii="Arial" w:hAnsi="Arial" w:cs="Arial"/>
          <w:sz w:val="20"/>
          <w:szCs w:val="20"/>
        </w:rPr>
        <w:t xml:space="preserve"> „Tworzenie, rozwój i wdrożenie technologii i innowacji w zakresie B+R”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0E7EAE" w:rsidRPr="002D1F16">
        <w:rPr>
          <w:rFonts w:ascii="Arial" w:hAnsi="Arial" w:cs="Arial"/>
          <w:sz w:val="20"/>
          <w:szCs w:val="20"/>
        </w:rPr>
        <w:t>za sporządzenie</w:t>
      </w:r>
      <w:r w:rsidR="00F40D05" w:rsidRPr="002D1F16">
        <w:rPr>
          <w:rFonts w:ascii="Arial" w:hAnsi="Arial" w:cs="Arial"/>
          <w:sz w:val="20"/>
          <w:szCs w:val="20"/>
        </w:rPr>
        <w:t xml:space="preserve"> opinii na temat wnios</w:t>
      </w:r>
      <w:r w:rsidR="00045E85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F40D05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0E7EAE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,</w:t>
      </w:r>
    </w:p>
    <w:p w:rsidR="005A6379" w:rsidRPr="002D1F16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A6379">
        <w:rPr>
          <w:rFonts w:ascii="Arial" w:hAnsi="Arial" w:cs="Arial"/>
          <w:sz w:val="20"/>
          <w:szCs w:val="20"/>
        </w:rPr>
        <w:t xml:space="preserve">) 150 zł – w ramach oceny projektu, w przypadku gdy różnica pomiędzy ocenami </w:t>
      </w:r>
      <w:r w:rsidR="00807F42">
        <w:rPr>
          <w:rFonts w:ascii="Arial" w:hAnsi="Arial" w:cs="Arial"/>
          <w:sz w:val="20"/>
          <w:szCs w:val="20"/>
        </w:rPr>
        <w:t xml:space="preserve">wszystkich kryteriów przekazanych do oceny </w:t>
      </w:r>
      <w:r w:rsidR="005A6379">
        <w:rPr>
          <w:rFonts w:ascii="Arial" w:hAnsi="Arial" w:cs="Arial"/>
          <w:sz w:val="20"/>
          <w:szCs w:val="20"/>
        </w:rPr>
        <w:t>dwó</w:t>
      </w:r>
      <w:r w:rsidR="00807F42">
        <w:rPr>
          <w:rFonts w:ascii="Arial" w:hAnsi="Arial" w:cs="Arial"/>
          <w:sz w:val="20"/>
          <w:szCs w:val="20"/>
        </w:rPr>
        <w:t>m</w:t>
      </w:r>
      <w:r w:rsidR="00320E07">
        <w:rPr>
          <w:rFonts w:ascii="Arial" w:hAnsi="Arial" w:cs="Arial"/>
          <w:sz w:val="20"/>
          <w:szCs w:val="20"/>
        </w:rPr>
        <w:t xml:space="preserve"> członkom</w:t>
      </w:r>
      <w:r w:rsidR="005A6379">
        <w:rPr>
          <w:rFonts w:ascii="Arial" w:hAnsi="Arial" w:cs="Arial"/>
          <w:sz w:val="20"/>
          <w:szCs w:val="20"/>
        </w:rPr>
        <w:t xml:space="preserve"> KOP/KOKKS wyniesie więcej niż 40% maksymalnej liczby punków możliwych do uzyskania przez dany projekt, </w:t>
      </w:r>
    </w:p>
    <w:p w:rsidR="00B81623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projektu przywróconego na podstawie pozytywnego wyniku procedury odwoławczej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 III,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CF59C7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„Analiza </w:t>
      </w:r>
      <w:r w:rsidR="000F478B">
        <w:rPr>
          <w:rFonts w:ascii="Arial" w:hAnsi="Arial" w:cs="Arial"/>
          <w:sz w:val="20"/>
          <w:szCs w:val="20"/>
        </w:rPr>
        <w:t>ekonomiczno-finansowa</w:t>
      </w:r>
      <w:r w:rsidR="00CF59C7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>,</w:t>
      </w:r>
      <w:r w:rsidR="00045E85" w:rsidRPr="00045E85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CF59C7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807F42" w:rsidRPr="002D1F16" w:rsidRDefault="005A6379" w:rsidP="00807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2F620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0 zł – </w:t>
      </w:r>
      <w:r w:rsidR="00807F42">
        <w:rPr>
          <w:rFonts w:ascii="Arial" w:hAnsi="Arial" w:cs="Arial"/>
          <w:sz w:val="20"/>
          <w:szCs w:val="20"/>
        </w:rPr>
        <w:t xml:space="preserve">w ramach oceny projektu, w przypadku gdy różnica pomiędzy ocenami wszystkich kryteriów przekazanych do oceny dwóm członków KOP/KOKKS wyniesie więcej niż 40% maksymalnej liczby punków możliwych do uzyskania przez dany projekt, </w:t>
      </w:r>
    </w:p>
    <w:p w:rsidR="00F40D05" w:rsidRPr="002D1F16" w:rsidRDefault="005A6379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="00045E85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="00BA2C44">
        <w:rPr>
          <w:rFonts w:ascii="Arial" w:hAnsi="Arial" w:cs="Arial"/>
          <w:sz w:val="20"/>
          <w:szCs w:val="20"/>
          <w:shd w:val="clear" w:color="auto" w:fill="FFFFFF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2806C8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="0049023F">
        <w:rPr>
          <w:rFonts w:ascii="Arial" w:hAnsi="Arial" w:cs="Arial"/>
          <w:sz w:val="20"/>
          <w:szCs w:val="20"/>
        </w:rPr>
        <w:t xml:space="preserve"> z wyłączeniem Działania 1.1 typ 2</w:t>
      </w:r>
      <w:r w:rsidR="0049023F" w:rsidRPr="002D1F16">
        <w:rPr>
          <w:rFonts w:ascii="Arial" w:hAnsi="Arial" w:cs="Arial"/>
          <w:sz w:val="20"/>
          <w:szCs w:val="20"/>
        </w:rPr>
        <w:t>,</w:t>
      </w:r>
    </w:p>
    <w:p w:rsidR="0049023F" w:rsidRPr="002D1F16" w:rsidRDefault="0049023F" w:rsidP="00490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300 zł – Działanie 1.1 typ 2 </w:t>
      </w:r>
      <w:r w:rsidRPr="002D1F16">
        <w:rPr>
          <w:rFonts w:ascii="Arial" w:hAnsi="Arial" w:cs="Arial"/>
          <w:sz w:val="20"/>
          <w:szCs w:val="20"/>
        </w:rPr>
        <w:t>w ramach dziedziny</w:t>
      </w:r>
      <w:r>
        <w:rPr>
          <w:rFonts w:ascii="Arial" w:hAnsi="Arial" w:cs="Arial"/>
          <w:sz w:val="20"/>
          <w:szCs w:val="20"/>
        </w:rPr>
        <w:t xml:space="preserve"> „Tworzenie, rozwój i wdrożenie technologii i innowacji w zakresie B+R”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="00F40D05"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3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B81623" w:rsidRDefault="0049023F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III,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4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807F42" w:rsidRPr="00304666" w:rsidRDefault="00F40D05" w:rsidP="00807F42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040AC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040AC3" w:rsidRPr="002D1F16" w:rsidRDefault="00040AC3" w:rsidP="00040A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C3" w:rsidRPr="002D1F16" w:rsidRDefault="00040AC3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863A93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 o którym mowa w ust. 1</w:t>
      </w:r>
      <w:r w:rsidR="00863A93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g)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</w:rPr>
        <w:t>w ramach oceny projektu przywróconego na podstawie pozytywne</w:t>
      </w:r>
      <w:r w:rsidR="005E54F8">
        <w:rPr>
          <w:rFonts w:ascii="Arial" w:hAnsi="Arial" w:cs="Arial"/>
          <w:sz w:val="20"/>
          <w:szCs w:val="20"/>
        </w:rPr>
        <w:t>go wyniku procedury odwoławczej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894436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894436">
        <w:rPr>
          <w:rFonts w:ascii="Arial" w:hAnsi="Arial" w:cs="Arial"/>
          <w:sz w:val="20"/>
          <w:szCs w:val="20"/>
        </w:rPr>
        <w:t>a</w:t>
      </w:r>
      <w:r w:rsidR="005E54F8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</w:t>
      </w:r>
      <w:r w:rsidR="00863A93" w:rsidRPr="002D1F16">
        <w:rPr>
          <w:rFonts w:ascii="Arial" w:hAnsi="Arial" w:cs="Arial"/>
          <w:sz w:val="20"/>
          <w:szCs w:val="20"/>
        </w:rPr>
        <w:t xml:space="preserve"> </w:t>
      </w:r>
      <w:r w:rsidR="005E54F8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5E54F8" w:rsidRPr="002D1F16">
        <w:rPr>
          <w:rFonts w:ascii="Arial" w:hAnsi="Arial" w:cs="Arial"/>
          <w:sz w:val="20"/>
          <w:szCs w:val="20"/>
        </w:rPr>
        <w:t xml:space="preserve"> </w:t>
      </w:r>
      <w:r w:rsidR="00863A93" w:rsidRPr="002D1F16">
        <w:rPr>
          <w:rFonts w:ascii="Arial" w:hAnsi="Arial" w:cs="Arial"/>
          <w:sz w:val="20"/>
          <w:szCs w:val="20"/>
        </w:rPr>
        <w:t>lub jego wybranych elementów</w:t>
      </w:r>
      <w:r w:rsidR="005E54F8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</w:t>
      </w:r>
      <w:r w:rsidR="00C75FA9">
        <w:rPr>
          <w:rFonts w:ascii="Arial" w:hAnsi="Arial" w:cs="Arial"/>
          <w:sz w:val="20"/>
          <w:szCs w:val="20"/>
        </w:rPr>
        <w:t xml:space="preserve"> lub</w:t>
      </w:r>
      <w:r w:rsidR="00A203C2">
        <w:rPr>
          <w:rFonts w:ascii="Arial" w:hAnsi="Arial" w:cs="Arial"/>
          <w:sz w:val="20"/>
          <w:szCs w:val="20"/>
        </w:rPr>
        <w:t xml:space="preserve"> Dyrektora/Zastępcy Dyrektora Wydziału Wdrażania Działań Środowiskowych</w:t>
      </w:r>
      <w:r w:rsidR="002445EB">
        <w:rPr>
          <w:rFonts w:ascii="Arial" w:hAnsi="Arial" w:cs="Arial"/>
          <w:sz w:val="20"/>
          <w:szCs w:val="20"/>
        </w:rPr>
        <w:t xml:space="preserve"> Regionalnego Programu Operacyjnego.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WZ </w:t>
      </w:r>
      <w:r w:rsidR="00C75FA9">
        <w:rPr>
          <w:rFonts w:ascii="Arial" w:hAnsi="Arial" w:cs="Arial"/>
          <w:sz w:val="20"/>
          <w:szCs w:val="20"/>
        </w:rPr>
        <w:t>lub</w:t>
      </w:r>
      <w:r w:rsidR="00A203C2">
        <w:rPr>
          <w:rFonts w:ascii="Arial" w:hAnsi="Arial" w:cs="Arial"/>
          <w:sz w:val="20"/>
          <w:szCs w:val="20"/>
        </w:rPr>
        <w:t xml:space="preserve"> pracownicy Wydziału Wdrażania Działań Środowiskowych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</w:t>
      </w:r>
      <w:r w:rsidR="00E77212">
        <w:rPr>
          <w:rFonts w:ascii="Arial" w:hAnsi="Arial" w:cs="Arial"/>
          <w:sz w:val="20"/>
          <w:szCs w:val="20"/>
        </w:rPr>
        <w:t xml:space="preserve">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47019C" w:rsidRPr="002D1F16" w:rsidRDefault="0047019C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47019C">
        <w:rPr>
          <w:rFonts w:ascii="Arial" w:hAnsi="Arial" w:cs="Arial"/>
          <w:b/>
          <w:sz w:val="20"/>
          <w:szCs w:val="20"/>
        </w:rPr>
        <w:t>7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 oraz dostarczeniu niezbędnych dokumentów potwierdzających zatrudnienie eksperta, wynagrodzenie zostanie wypłac</w:t>
      </w:r>
      <w:r w:rsidR="002445EB">
        <w:rPr>
          <w:rFonts w:ascii="Arial" w:hAnsi="Arial" w:cs="Arial"/>
          <w:sz w:val="20"/>
          <w:szCs w:val="20"/>
        </w:rPr>
        <w:t>one na konto wskazane w umowie</w:t>
      </w:r>
      <w:r w:rsidRPr="002D1F16">
        <w:rPr>
          <w:rFonts w:ascii="Arial" w:hAnsi="Arial" w:cs="Arial"/>
          <w:sz w:val="20"/>
          <w:szCs w:val="20"/>
        </w:rPr>
        <w:t>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>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. </w:t>
      </w: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6F38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46F8F" w:rsidRPr="002D1F16" w:rsidSect="00793E0C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737692"/>
      <w:docPartObj>
        <w:docPartGallery w:val="Page Numbers (Bottom of Page)"/>
        <w:docPartUnique/>
      </w:docPartObj>
    </w:sdtPr>
    <w:sdtEndPr/>
    <w:sdtContent>
      <w:p w:rsidR="00204316" w:rsidRDefault="002043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860">
          <w:rPr>
            <w:noProof/>
          </w:rPr>
          <w:t>1</w:t>
        </w:r>
        <w:r>
          <w:fldChar w:fldCharType="end"/>
        </w:r>
      </w:p>
    </w:sdtContent>
  </w:sdt>
  <w:p w:rsidR="00204316" w:rsidRDefault="00204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F8F"/>
    <w:rsid w:val="00002B6F"/>
    <w:rsid w:val="00012916"/>
    <w:rsid w:val="00040AC3"/>
    <w:rsid w:val="00045E85"/>
    <w:rsid w:val="00081710"/>
    <w:rsid w:val="00094D58"/>
    <w:rsid w:val="000E7EAE"/>
    <w:rsid w:val="000F478B"/>
    <w:rsid w:val="001F2D26"/>
    <w:rsid w:val="00204316"/>
    <w:rsid w:val="002445EB"/>
    <w:rsid w:val="002806C8"/>
    <w:rsid w:val="00291D33"/>
    <w:rsid w:val="00292ECC"/>
    <w:rsid w:val="002D1F16"/>
    <w:rsid w:val="002F6209"/>
    <w:rsid w:val="00304666"/>
    <w:rsid w:val="0031417D"/>
    <w:rsid w:val="00320E07"/>
    <w:rsid w:val="00346F8F"/>
    <w:rsid w:val="003A30E5"/>
    <w:rsid w:val="003D4DFE"/>
    <w:rsid w:val="0047019C"/>
    <w:rsid w:val="0049023F"/>
    <w:rsid w:val="004E1573"/>
    <w:rsid w:val="004E468E"/>
    <w:rsid w:val="00523A65"/>
    <w:rsid w:val="00560B4B"/>
    <w:rsid w:val="005A6379"/>
    <w:rsid w:val="005E54F8"/>
    <w:rsid w:val="006017E3"/>
    <w:rsid w:val="0062235C"/>
    <w:rsid w:val="006F386F"/>
    <w:rsid w:val="00793E0C"/>
    <w:rsid w:val="00807F42"/>
    <w:rsid w:val="00863A93"/>
    <w:rsid w:val="00865D1C"/>
    <w:rsid w:val="00892BA1"/>
    <w:rsid w:val="00894436"/>
    <w:rsid w:val="008E7AB1"/>
    <w:rsid w:val="00941860"/>
    <w:rsid w:val="0096459A"/>
    <w:rsid w:val="009B1CD4"/>
    <w:rsid w:val="00A203C2"/>
    <w:rsid w:val="00A230E3"/>
    <w:rsid w:val="00AE3DE7"/>
    <w:rsid w:val="00B81623"/>
    <w:rsid w:val="00BA2C44"/>
    <w:rsid w:val="00BA6F08"/>
    <w:rsid w:val="00BF6025"/>
    <w:rsid w:val="00C75FA9"/>
    <w:rsid w:val="00CF59C7"/>
    <w:rsid w:val="00DB4E7A"/>
    <w:rsid w:val="00DC4727"/>
    <w:rsid w:val="00DC6488"/>
    <w:rsid w:val="00E64870"/>
    <w:rsid w:val="00E77212"/>
    <w:rsid w:val="00EB24CF"/>
    <w:rsid w:val="00F078D2"/>
    <w:rsid w:val="00F40D05"/>
    <w:rsid w:val="00F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C5CA-D3DF-4009-92EB-CEC98F0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JNIWA</cp:lastModifiedBy>
  <cp:revision>23</cp:revision>
  <cp:lastPrinted>2017-08-02T09:35:00Z</cp:lastPrinted>
  <dcterms:created xsi:type="dcterms:W3CDTF">2016-06-03T08:03:00Z</dcterms:created>
  <dcterms:modified xsi:type="dcterms:W3CDTF">2018-04-10T09:29:00Z</dcterms:modified>
  <dc:language>pl-PL</dc:language>
</cp:coreProperties>
</file>