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37" w:rsidRDefault="00DD5A10" w:rsidP="00DD5A1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8F6D95">
        <w:rPr>
          <w:rFonts w:ascii="Arial" w:hAnsi="Arial" w:cs="Arial"/>
          <w:sz w:val="20"/>
          <w:szCs w:val="20"/>
        </w:rPr>
        <w:t>1</w:t>
      </w:r>
    </w:p>
    <w:p w:rsidR="00DD5A10" w:rsidRDefault="00DD5A10" w:rsidP="00DD5A1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uchwały Zarządu Województwa Zachodniopomorskiego nr </w:t>
      </w:r>
      <w:r w:rsidR="00723170">
        <w:rPr>
          <w:rFonts w:ascii="Arial" w:hAnsi="Arial" w:cs="Arial"/>
          <w:sz w:val="20"/>
          <w:szCs w:val="20"/>
        </w:rPr>
        <w:t>1719</w:t>
      </w:r>
      <w:r>
        <w:rPr>
          <w:rFonts w:ascii="Arial" w:hAnsi="Arial" w:cs="Arial"/>
          <w:sz w:val="20"/>
          <w:szCs w:val="20"/>
        </w:rPr>
        <w:t>/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14</w:t>
      </w:r>
    </w:p>
    <w:p w:rsidR="00DD5A10" w:rsidRDefault="00DD5A10" w:rsidP="004769FB">
      <w:pPr>
        <w:rPr>
          <w:rFonts w:ascii="Arial" w:hAnsi="Arial" w:cs="Arial"/>
          <w:sz w:val="20"/>
          <w:szCs w:val="20"/>
        </w:rPr>
      </w:pPr>
    </w:p>
    <w:p w:rsidR="004E7BAF" w:rsidRDefault="004E7BAF" w:rsidP="004769FB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E7BAF">
        <w:rPr>
          <w:rFonts w:ascii="Arial" w:hAnsi="Arial" w:cs="Arial"/>
          <w:sz w:val="20"/>
          <w:szCs w:val="20"/>
        </w:rPr>
        <w:t>W zakresie rzeczowym projektu pn. „„Budowa pawilonu wystawowego służącego celom „Centrum Dialogu Przełomy”” w ramach wydatków kwalifikowalnych projektu uwzględnia się następujące wydatki kwalifikowalne</w:t>
      </w:r>
      <w:r w:rsidR="004769FB">
        <w:rPr>
          <w:rFonts w:ascii="Arial" w:hAnsi="Arial" w:cs="Arial"/>
          <w:sz w:val="20"/>
          <w:szCs w:val="20"/>
        </w:rPr>
        <w:t xml:space="preserve"> (zgodnie z przyporządkowaniem dokonanym przez Beneficjenta w piśmie z </w:t>
      </w:r>
      <w:r w:rsidR="004769FB" w:rsidRPr="004769FB">
        <w:rPr>
          <w:rFonts w:ascii="Arial" w:hAnsi="Arial" w:cs="Arial"/>
          <w:sz w:val="20"/>
          <w:szCs w:val="20"/>
        </w:rPr>
        <w:t xml:space="preserve">15 </w:t>
      </w:r>
      <w:r w:rsidR="004769FB">
        <w:rPr>
          <w:rFonts w:ascii="Arial" w:hAnsi="Arial" w:cs="Arial"/>
          <w:sz w:val="20"/>
          <w:szCs w:val="20"/>
        </w:rPr>
        <w:t>września 2014 r. znak 2055/I/14</w:t>
      </w:r>
      <w:r w:rsidR="006263F8">
        <w:rPr>
          <w:rFonts w:ascii="Arial" w:hAnsi="Arial" w:cs="Arial"/>
          <w:sz w:val="20"/>
          <w:szCs w:val="20"/>
        </w:rPr>
        <w:t>)</w:t>
      </w:r>
      <w:r w:rsidR="004769FB">
        <w:rPr>
          <w:rFonts w:ascii="Arial" w:hAnsi="Arial" w:cs="Arial"/>
          <w:sz w:val="20"/>
          <w:szCs w:val="20"/>
        </w:rPr>
        <w:t>:</w:t>
      </w:r>
    </w:p>
    <w:p w:rsidR="00C04C69" w:rsidRPr="00C04C69" w:rsidRDefault="004E7BAF" w:rsidP="004769FB">
      <w:pPr>
        <w:numPr>
          <w:ilvl w:val="0"/>
          <w:numId w:val="3"/>
        </w:num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  <w:r w:rsidRPr="00C04C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wykonanie </w:t>
      </w:r>
      <w:r w:rsidR="00C04C69" w:rsidRPr="00C04C69">
        <w:rPr>
          <w:rFonts w:ascii="Arial" w:hAnsi="Arial" w:cs="Arial"/>
          <w:sz w:val="20"/>
          <w:szCs w:val="20"/>
        </w:rPr>
        <w:t xml:space="preserve">„Ściany pamięci” upamiętniającej wydarzenia Grudnia ‘70 i Szesnastu Poległych w formie instalacji z szesnastoma listwami świetlnymi </w:t>
      </w:r>
      <w:r w:rsidR="00CC62C0">
        <w:rPr>
          <w:rFonts w:ascii="Arial" w:hAnsi="Arial" w:cs="Arial"/>
          <w:sz w:val="20"/>
          <w:szCs w:val="20"/>
        </w:rPr>
        <w:t>–</w:t>
      </w:r>
      <w:r w:rsidR="00C04C69" w:rsidRPr="00C04C69">
        <w:rPr>
          <w:rFonts w:ascii="Arial" w:hAnsi="Arial" w:cs="Arial"/>
          <w:sz w:val="20"/>
          <w:szCs w:val="20"/>
        </w:rPr>
        <w:t xml:space="preserve"> 82</w:t>
      </w:r>
      <w:r w:rsidR="00CC62C0">
        <w:rPr>
          <w:rFonts w:ascii="Arial" w:hAnsi="Arial" w:cs="Arial"/>
          <w:sz w:val="20"/>
          <w:szCs w:val="20"/>
        </w:rPr>
        <w:t xml:space="preserve"> </w:t>
      </w:r>
      <w:r w:rsidR="00C04C69" w:rsidRPr="00C04C69">
        <w:rPr>
          <w:rFonts w:ascii="Arial" w:hAnsi="Arial" w:cs="Arial"/>
          <w:sz w:val="20"/>
          <w:szCs w:val="20"/>
        </w:rPr>
        <w:t>000 zł,</w:t>
      </w:r>
    </w:p>
    <w:p w:rsidR="00C04C69" w:rsidRPr="00C04C69" w:rsidRDefault="00C04C69" w:rsidP="004769FB">
      <w:pPr>
        <w:numPr>
          <w:ilvl w:val="0"/>
          <w:numId w:val="3"/>
        </w:num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  <w:r w:rsidRPr="00C04C69">
        <w:rPr>
          <w:rFonts w:ascii="Arial" w:hAnsi="Arial" w:cs="Arial"/>
          <w:sz w:val="20"/>
          <w:szCs w:val="20"/>
        </w:rPr>
        <w:t>zabezpieczeni</w:t>
      </w:r>
      <w:r w:rsidR="00CC62C0">
        <w:rPr>
          <w:rFonts w:ascii="Arial" w:hAnsi="Arial" w:cs="Arial"/>
          <w:sz w:val="20"/>
          <w:szCs w:val="20"/>
        </w:rPr>
        <w:t>e</w:t>
      </w:r>
      <w:r w:rsidRPr="00C04C69">
        <w:rPr>
          <w:rFonts w:ascii="Arial" w:hAnsi="Arial" w:cs="Arial"/>
          <w:sz w:val="20"/>
          <w:szCs w:val="20"/>
        </w:rPr>
        <w:t xml:space="preserve"> ścian budynku środkiem ułatwiającym zmywanie „graffiti” - 19 100,00 zł,</w:t>
      </w:r>
    </w:p>
    <w:p w:rsidR="00C04C69" w:rsidRPr="00C04C69" w:rsidRDefault="00C04C69" w:rsidP="004769FB">
      <w:pPr>
        <w:numPr>
          <w:ilvl w:val="0"/>
          <w:numId w:val="3"/>
        </w:num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  <w:r w:rsidRPr="00C04C69">
        <w:rPr>
          <w:rFonts w:ascii="Arial" w:hAnsi="Arial" w:cs="Arial"/>
          <w:sz w:val="20"/>
          <w:szCs w:val="20"/>
        </w:rPr>
        <w:t>dodatkow</w:t>
      </w:r>
      <w:r w:rsidR="00CC62C0">
        <w:rPr>
          <w:rFonts w:ascii="Arial" w:hAnsi="Arial" w:cs="Arial"/>
          <w:sz w:val="20"/>
          <w:szCs w:val="20"/>
        </w:rPr>
        <w:t>e zabezpieczenia</w:t>
      </w:r>
      <w:r w:rsidRPr="00C04C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4C69">
        <w:rPr>
          <w:rFonts w:ascii="Arial" w:hAnsi="Arial" w:cs="Arial"/>
          <w:sz w:val="20"/>
          <w:szCs w:val="20"/>
        </w:rPr>
        <w:t>sal</w:t>
      </w:r>
      <w:proofErr w:type="spellEnd"/>
      <w:r w:rsidRPr="00C04C69">
        <w:rPr>
          <w:rFonts w:ascii="Arial" w:hAnsi="Arial" w:cs="Arial"/>
          <w:sz w:val="20"/>
          <w:szCs w:val="20"/>
        </w:rPr>
        <w:t xml:space="preserve"> wystawowych zalecone na etapie realizacji inwestycji przez Narodowy Instytut Muzealnictwa i Ochrony Zbiorów - 140 000,00 zł,</w:t>
      </w:r>
    </w:p>
    <w:p w:rsidR="00C04C69" w:rsidRPr="00C04C69" w:rsidRDefault="00CC62C0" w:rsidP="004769FB">
      <w:pPr>
        <w:numPr>
          <w:ilvl w:val="0"/>
          <w:numId w:val="3"/>
        </w:num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drewniane listwy wykańczające</w:t>
      </w:r>
      <w:r w:rsidR="00C04C69" w:rsidRPr="00C04C69">
        <w:rPr>
          <w:rFonts w:ascii="Arial" w:hAnsi="Arial" w:cs="Arial"/>
          <w:sz w:val="20"/>
          <w:szCs w:val="20"/>
        </w:rPr>
        <w:t xml:space="preserve"> betonowe ławki o wartości 17 300,00 zł,</w:t>
      </w:r>
    </w:p>
    <w:p w:rsidR="00C04C69" w:rsidRPr="00C04C69" w:rsidRDefault="00C04C69" w:rsidP="004769FB">
      <w:pPr>
        <w:numPr>
          <w:ilvl w:val="0"/>
          <w:numId w:val="3"/>
        </w:num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  <w:r w:rsidRPr="00C04C69">
        <w:rPr>
          <w:rFonts w:ascii="Arial" w:hAnsi="Arial" w:cs="Arial"/>
          <w:sz w:val="20"/>
          <w:szCs w:val="20"/>
        </w:rPr>
        <w:t>zabezpieczenia spoiwem przepuszczającym tlen i wodę pól żwirowych przed rozsypywaniem się żwiru – 172 000,00 zł,</w:t>
      </w:r>
    </w:p>
    <w:p w:rsidR="00C04C69" w:rsidRPr="00C04C69" w:rsidRDefault="00C04C69" w:rsidP="004769FB">
      <w:pPr>
        <w:numPr>
          <w:ilvl w:val="0"/>
          <w:numId w:val="3"/>
        </w:num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  <w:r w:rsidRPr="00C04C69">
        <w:rPr>
          <w:rFonts w:ascii="Arial" w:hAnsi="Arial" w:cs="Arial"/>
          <w:sz w:val="20"/>
          <w:szCs w:val="20"/>
        </w:rPr>
        <w:t>wykończeni</w:t>
      </w:r>
      <w:r w:rsidR="00CC62C0">
        <w:rPr>
          <w:rFonts w:ascii="Arial" w:hAnsi="Arial" w:cs="Arial"/>
          <w:sz w:val="20"/>
          <w:szCs w:val="20"/>
        </w:rPr>
        <w:t>e</w:t>
      </w:r>
      <w:r w:rsidRPr="00C04C69">
        <w:rPr>
          <w:rFonts w:ascii="Arial" w:hAnsi="Arial" w:cs="Arial"/>
          <w:sz w:val="20"/>
          <w:szCs w:val="20"/>
        </w:rPr>
        <w:t xml:space="preserve"> głównej klatki schodowej w sposób nawiązujący do aranżacji wystawy stałej </w:t>
      </w:r>
      <w:r w:rsidR="00CC62C0">
        <w:rPr>
          <w:rFonts w:ascii="Arial" w:hAnsi="Arial" w:cs="Arial"/>
          <w:sz w:val="20"/>
          <w:szCs w:val="20"/>
        </w:rPr>
        <w:t>–</w:t>
      </w:r>
      <w:r w:rsidRPr="00C04C69">
        <w:rPr>
          <w:rFonts w:ascii="Arial" w:hAnsi="Arial" w:cs="Arial"/>
          <w:sz w:val="20"/>
          <w:szCs w:val="20"/>
        </w:rPr>
        <w:t xml:space="preserve"> 18</w:t>
      </w:r>
      <w:r w:rsidR="00CC62C0">
        <w:rPr>
          <w:rFonts w:ascii="Arial" w:hAnsi="Arial" w:cs="Arial"/>
          <w:sz w:val="20"/>
          <w:szCs w:val="20"/>
        </w:rPr>
        <w:t xml:space="preserve"> </w:t>
      </w:r>
      <w:r w:rsidRPr="00C04C69">
        <w:rPr>
          <w:rFonts w:ascii="Arial" w:hAnsi="Arial" w:cs="Arial"/>
          <w:sz w:val="20"/>
          <w:szCs w:val="20"/>
        </w:rPr>
        <w:t>200 zł,</w:t>
      </w:r>
    </w:p>
    <w:p w:rsidR="00C04C69" w:rsidRPr="00C04C69" w:rsidRDefault="00C04C69" w:rsidP="004769FB">
      <w:pPr>
        <w:numPr>
          <w:ilvl w:val="0"/>
          <w:numId w:val="3"/>
        </w:num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  <w:r w:rsidRPr="00C04C69">
        <w:rPr>
          <w:rFonts w:ascii="Arial" w:hAnsi="Arial" w:cs="Arial"/>
          <w:sz w:val="20"/>
          <w:szCs w:val="20"/>
        </w:rPr>
        <w:t>wynagrodzeni</w:t>
      </w:r>
      <w:r w:rsidR="00CC62C0">
        <w:rPr>
          <w:rFonts w:ascii="Arial" w:hAnsi="Arial" w:cs="Arial"/>
          <w:sz w:val="20"/>
          <w:szCs w:val="20"/>
        </w:rPr>
        <w:t>e</w:t>
      </w:r>
      <w:r w:rsidRPr="00C04C69">
        <w:rPr>
          <w:rFonts w:ascii="Arial" w:hAnsi="Arial" w:cs="Arial"/>
          <w:sz w:val="20"/>
          <w:szCs w:val="20"/>
        </w:rPr>
        <w:t xml:space="preserve"> architekta za wykonanie dodatkowej dokumentacji projektowej</w:t>
      </w:r>
      <w:r w:rsidR="00106163">
        <w:rPr>
          <w:rFonts w:ascii="Arial" w:hAnsi="Arial" w:cs="Arial"/>
          <w:sz w:val="20"/>
          <w:szCs w:val="20"/>
        </w:rPr>
        <w:t xml:space="preserve"> oraz</w:t>
      </w:r>
      <w:r w:rsidR="00CC62C0">
        <w:rPr>
          <w:rFonts w:ascii="Arial" w:hAnsi="Arial" w:cs="Arial"/>
          <w:sz w:val="20"/>
          <w:szCs w:val="20"/>
        </w:rPr>
        <w:t xml:space="preserve"> nadzór autorski</w:t>
      </w:r>
      <w:r w:rsidRPr="00C04C69">
        <w:rPr>
          <w:rFonts w:ascii="Arial" w:hAnsi="Arial" w:cs="Arial"/>
          <w:sz w:val="20"/>
          <w:szCs w:val="20"/>
        </w:rPr>
        <w:t xml:space="preserve"> nad realizacją</w:t>
      </w:r>
      <w:r w:rsidR="00CC62C0">
        <w:rPr>
          <w:rFonts w:ascii="Arial" w:hAnsi="Arial" w:cs="Arial"/>
          <w:sz w:val="20"/>
          <w:szCs w:val="20"/>
        </w:rPr>
        <w:t xml:space="preserve"> tych robót</w:t>
      </w:r>
      <w:r w:rsidRPr="00C04C69">
        <w:rPr>
          <w:rFonts w:ascii="Arial" w:hAnsi="Arial" w:cs="Arial"/>
          <w:sz w:val="20"/>
          <w:szCs w:val="20"/>
        </w:rPr>
        <w:t xml:space="preserve"> – 90 000,00 zł,</w:t>
      </w:r>
    </w:p>
    <w:p w:rsidR="00C04C69" w:rsidRPr="00C04C69" w:rsidRDefault="00CC62C0" w:rsidP="004769FB">
      <w:pPr>
        <w:numPr>
          <w:ilvl w:val="0"/>
          <w:numId w:val="3"/>
        </w:num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zakup</w:t>
      </w:r>
      <w:r w:rsidR="00C04C69" w:rsidRPr="00C04C69">
        <w:rPr>
          <w:rFonts w:ascii="Arial" w:hAnsi="Arial" w:cs="Arial"/>
          <w:sz w:val="20"/>
          <w:szCs w:val="20"/>
        </w:rPr>
        <w:t xml:space="preserve"> dzieł artystycznych wybranych plastyków – 753 200,00 zł,</w:t>
      </w:r>
    </w:p>
    <w:p w:rsidR="00C04C69" w:rsidRPr="00C04C69" w:rsidRDefault="00CC62C0" w:rsidP="004769FB">
      <w:pPr>
        <w:numPr>
          <w:ilvl w:val="0"/>
          <w:numId w:val="3"/>
        </w:num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dodatkowe </w:t>
      </w:r>
      <w:proofErr w:type="spellStart"/>
      <w:r>
        <w:rPr>
          <w:rFonts w:ascii="Arial" w:hAnsi="Arial" w:cs="Arial"/>
          <w:sz w:val="20"/>
          <w:szCs w:val="20"/>
        </w:rPr>
        <w:t>ekspozytory</w:t>
      </w:r>
      <w:proofErr w:type="spellEnd"/>
      <w:r w:rsidR="00C04C69" w:rsidRPr="00C04C69">
        <w:rPr>
          <w:rFonts w:ascii="Arial" w:hAnsi="Arial" w:cs="Arial"/>
          <w:sz w:val="20"/>
          <w:szCs w:val="20"/>
        </w:rPr>
        <w:t xml:space="preserve"> – 46 400,00 zł,</w:t>
      </w:r>
    </w:p>
    <w:p w:rsidR="00C04C69" w:rsidRPr="00C04C69" w:rsidRDefault="00C04C69" w:rsidP="003B2C41">
      <w:pPr>
        <w:numPr>
          <w:ilvl w:val="0"/>
          <w:numId w:val="3"/>
        </w:numPr>
        <w:spacing w:after="120" w:line="240" w:lineRule="auto"/>
        <w:ind w:left="1134" w:hanging="357"/>
        <w:rPr>
          <w:rFonts w:ascii="Arial" w:hAnsi="Arial" w:cs="Arial"/>
          <w:sz w:val="20"/>
          <w:szCs w:val="20"/>
        </w:rPr>
      </w:pPr>
      <w:r w:rsidRPr="00C04C69">
        <w:rPr>
          <w:rFonts w:ascii="Arial" w:hAnsi="Arial" w:cs="Arial"/>
          <w:sz w:val="20"/>
          <w:szCs w:val="20"/>
        </w:rPr>
        <w:t>rozszerzeni</w:t>
      </w:r>
      <w:r w:rsidR="00CC62C0">
        <w:rPr>
          <w:rFonts w:ascii="Arial" w:hAnsi="Arial" w:cs="Arial"/>
          <w:sz w:val="20"/>
          <w:szCs w:val="20"/>
        </w:rPr>
        <w:t>e</w:t>
      </w:r>
      <w:r w:rsidRPr="00C04C69">
        <w:rPr>
          <w:rFonts w:ascii="Arial" w:hAnsi="Arial" w:cs="Arial"/>
          <w:sz w:val="20"/>
          <w:szCs w:val="20"/>
        </w:rPr>
        <w:t xml:space="preserve"> zakresu wystawy o pomieszczenia bezpośrednio sąsiadujące z salą wystawy stałej – 685 768,66 zł.</w:t>
      </w:r>
    </w:p>
    <w:p w:rsidR="003B2C41" w:rsidRPr="003B2C41" w:rsidRDefault="003B2C41" w:rsidP="003B2C41">
      <w:pPr>
        <w:pStyle w:val="Akapitzlist"/>
        <w:numPr>
          <w:ilvl w:val="0"/>
          <w:numId w:val="4"/>
        </w:numPr>
        <w:spacing w:after="120"/>
        <w:ind w:hanging="357"/>
        <w:contextualSpacing w:val="0"/>
        <w:rPr>
          <w:rFonts w:ascii="Arial" w:hAnsi="Arial" w:cs="Arial"/>
          <w:sz w:val="20"/>
          <w:szCs w:val="20"/>
        </w:rPr>
      </w:pPr>
      <w:r w:rsidRPr="003B2C41">
        <w:rPr>
          <w:rFonts w:ascii="Arial" w:hAnsi="Arial" w:cs="Arial"/>
          <w:sz w:val="20"/>
          <w:szCs w:val="20"/>
        </w:rPr>
        <w:t>Zakończenie rzeczowe realizacji projektu ustala się na 28 lutego 2015 r.</w:t>
      </w:r>
    </w:p>
    <w:p w:rsidR="00B53DC3" w:rsidRDefault="003B2C41" w:rsidP="003B2C41">
      <w:pPr>
        <w:pStyle w:val="Akapitzlist"/>
        <w:numPr>
          <w:ilvl w:val="0"/>
          <w:numId w:val="4"/>
        </w:numPr>
        <w:spacing w:after="120"/>
        <w:ind w:hanging="357"/>
        <w:contextualSpacing w:val="0"/>
        <w:rPr>
          <w:rFonts w:ascii="Arial" w:hAnsi="Arial" w:cs="Arial"/>
          <w:sz w:val="20"/>
          <w:szCs w:val="20"/>
        </w:rPr>
      </w:pPr>
      <w:r w:rsidRPr="003B2C41">
        <w:rPr>
          <w:rFonts w:ascii="Arial" w:hAnsi="Arial" w:cs="Arial"/>
          <w:sz w:val="20"/>
          <w:szCs w:val="20"/>
        </w:rPr>
        <w:t>Zakończenie finansowe realizacji projektu ustala się na 31 marca 2015 r</w:t>
      </w:r>
    </w:p>
    <w:p w:rsidR="00065FCB" w:rsidRDefault="00065FCB" w:rsidP="003B2C41">
      <w:pPr>
        <w:pStyle w:val="Akapitzlist"/>
        <w:numPr>
          <w:ilvl w:val="0"/>
          <w:numId w:val="4"/>
        </w:numPr>
        <w:spacing w:after="120"/>
        <w:ind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Montaż finansowy projektu zostaje ustalony następująco:</w:t>
      </w:r>
    </w:p>
    <w:p w:rsidR="00065FCB" w:rsidRPr="00065FCB" w:rsidRDefault="00065FCB" w:rsidP="00ED2485">
      <w:pPr>
        <w:numPr>
          <w:ilvl w:val="0"/>
          <w:numId w:val="6"/>
        </w:numPr>
        <w:spacing w:after="120" w:line="240" w:lineRule="auto"/>
        <w:ind w:left="1134"/>
        <w:rPr>
          <w:rFonts w:ascii="Arial" w:eastAsia="Times New Roman" w:hAnsi="Arial" w:cs="Arial"/>
          <w:sz w:val="20"/>
          <w:szCs w:val="20"/>
          <w:lang w:eastAsia="pl-PL"/>
        </w:rPr>
      </w:pPr>
      <w:r w:rsidRPr="00065FCB">
        <w:rPr>
          <w:rFonts w:ascii="Arial" w:eastAsia="Times New Roman" w:hAnsi="Arial" w:cs="Arial"/>
          <w:sz w:val="20"/>
          <w:szCs w:val="20"/>
          <w:lang w:eastAsia="pl-PL"/>
        </w:rPr>
        <w:t xml:space="preserve">wartość wydatków kwalifikowalnych – zmiana </w:t>
      </w:r>
      <w:r w:rsidRPr="00065FCB">
        <w:rPr>
          <w:rFonts w:ascii="Arial" w:eastAsia="Times New Roman" w:hAnsi="Arial" w:cs="Arial"/>
          <w:b/>
          <w:sz w:val="20"/>
          <w:szCs w:val="20"/>
          <w:lang w:eastAsia="pl-PL"/>
        </w:rPr>
        <w:t>z 19 589 277,68 zł na 21 </w:t>
      </w:r>
      <w:r w:rsidR="002E27BD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Pr="00065FCB">
        <w:rPr>
          <w:rFonts w:ascii="Arial" w:eastAsia="Times New Roman" w:hAnsi="Arial" w:cs="Arial"/>
          <w:b/>
          <w:sz w:val="20"/>
          <w:szCs w:val="20"/>
          <w:lang w:eastAsia="pl-PL"/>
        </w:rPr>
        <w:t>13 246,34 zł (zwiększenie o 2 </w:t>
      </w:r>
      <w:r w:rsidR="002E27BD">
        <w:rPr>
          <w:rFonts w:ascii="Arial" w:eastAsia="Times New Roman" w:hAnsi="Arial" w:cs="Arial"/>
          <w:b/>
          <w:sz w:val="20"/>
          <w:szCs w:val="20"/>
          <w:lang w:eastAsia="pl-PL"/>
        </w:rPr>
        <w:t>0</w:t>
      </w:r>
      <w:r w:rsidRPr="00065FCB">
        <w:rPr>
          <w:rFonts w:ascii="Arial" w:eastAsia="Times New Roman" w:hAnsi="Arial" w:cs="Arial"/>
          <w:b/>
          <w:sz w:val="20"/>
          <w:szCs w:val="20"/>
          <w:lang w:eastAsia="pl-PL"/>
        </w:rPr>
        <w:t>23 968,66 zł),</w:t>
      </w:r>
    </w:p>
    <w:p w:rsidR="00065FCB" w:rsidRPr="00065FCB" w:rsidRDefault="00065FCB" w:rsidP="00ED2485">
      <w:pPr>
        <w:numPr>
          <w:ilvl w:val="0"/>
          <w:numId w:val="7"/>
        </w:numPr>
        <w:spacing w:after="120" w:line="240" w:lineRule="auto"/>
        <w:ind w:left="113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65FCB">
        <w:rPr>
          <w:rFonts w:ascii="Arial" w:eastAsia="Times New Roman" w:hAnsi="Arial" w:cs="Arial"/>
          <w:sz w:val="20"/>
          <w:szCs w:val="20"/>
          <w:lang w:eastAsia="pl-PL"/>
        </w:rPr>
        <w:t xml:space="preserve">kwota dofinansowania ze środków EFRR – zmiana </w:t>
      </w:r>
      <w:r w:rsidRPr="00065FCB">
        <w:rPr>
          <w:rFonts w:ascii="Arial" w:eastAsia="Times New Roman" w:hAnsi="Arial" w:cs="Arial"/>
          <w:b/>
          <w:sz w:val="20"/>
          <w:szCs w:val="20"/>
          <w:lang w:eastAsia="pl-PL"/>
        </w:rPr>
        <w:t>z 14 691 958,26 zł na 16</w:t>
      </w:r>
      <w:r w:rsidR="002E27BD">
        <w:rPr>
          <w:rFonts w:ascii="Arial" w:eastAsia="Times New Roman" w:hAnsi="Arial" w:cs="Arial"/>
          <w:b/>
          <w:sz w:val="20"/>
          <w:szCs w:val="20"/>
          <w:lang w:eastAsia="pl-PL"/>
        </w:rPr>
        <w:t> 209 934</w:t>
      </w:r>
      <w:r w:rsidRPr="00065FCB">
        <w:rPr>
          <w:rFonts w:ascii="Arial" w:eastAsia="Times New Roman" w:hAnsi="Arial" w:cs="Arial"/>
          <w:b/>
          <w:sz w:val="20"/>
          <w:szCs w:val="20"/>
          <w:lang w:eastAsia="pl-PL"/>
        </w:rPr>
        <w:t>,75 zł (zwiększenie o 1</w:t>
      </w:r>
      <w:r w:rsidR="002E27BD">
        <w:rPr>
          <w:rFonts w:ascii="Arial" w:eastAsia="Times New Roman" w:hAnsi="Arial" w:cs="Arial"/>
          <w:b/>
          <w:sz w:val="20"/>
          <w:szCs w:val="20"/>
          <w:lang w:eastAsia="pl-PL"/>
        </w:rPr>
        <w:t> 517 976</w:t>
      </w:r>
      <w:r w:rsidRPr="00065FCB">
        <w:rPr>
          <w:rFonts w:ascii="Arial" w:eastAsia="Times New Roman" w:hAnsi="Arial" w:cs="Arial"/>
          <w:b/>
          <w:sz w:val="20"/>
          <w:szCs w:val="20"/>
          <w:lang w:eastAsia="pl-PL"/>
        </w:rPr>
        <w:t>,49 zł).</w:t>
      </w:r>
    </w:p>
    <w:p w:rsidR="00065FCB" w:rsidRPr="003B2C41" w:rsidRDefault="00065FCB" w:rsidP="00065FCB">
      <w:pPr>
        <w:pStyle w:val="Akapitzlist"/>
        <w:spacing w:after="120"/>
        <w:contextualSpacing w:val="0"/>
        <w:rPr>
          <w:rFonts w:ascii="Arial" w:hAnsi="Arial" w:cs="Arial"/>
          <w:sz w:val="20"/>
          <w:szCs w:val="20"/>
        </w:rPr>
      </w:pPr>
    </w:p>
    <w:sectPr w:rsidR="00065FCB" w:rsidRPr="003B2C41" w:rsidSect="00C0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72259"/>
    <w:multiLevelType w:val="hybridMultilevel"/>
    <w:tmpl w:val="90D24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D1F83"/>
    <w:multiLevelType w:val="hybridMultilevel"/>
    <w:tmpl w:val="27DC6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54449"/>
    <w:multiLevelType w:val="hybridMultilevel"/>
    <w:tmpl w:val="9D3EE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611F1"/>
    <w:multiLevelType w:val="hybridMultilevel"/>
    <w:tmpl w:val="13AE6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43D06"/>
    <w:multiLevelType w:val="hybridMultilevel"/>
    <w:tmpl w:val="BB925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269E8"/>
    <w:multiLevelType w:val="hybridMultilevel"/>
    <w:tmpl w:val="1CA2B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987D64"/>
    <w:multiLevelType w:val="hybridMultilevel"/>
    <w:tmpl w:val="85DA7A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10"/>
    <w:rsid w:val="000168E4"/>
    <w:rsid w:val="00065FCB"/>
    <w:rsid w:val="000911E4"/>
    <w:rsid w:val="00106163"/>
    <w:rsid w:val="001128B6"/>
    <w:rsid w:val="00154C61"/>
    <w:rsid w:val="001E06E4"/>
    <w:rsid w:val="00244437"/>
    <w:rsid w:val="002E1DB6"/>
    <w:rsid w:val="002E27BD"/>
    <w:rsid w:val="0037667F"/>
    <w:rsid w:val="0039502F"/>
    <w:rsid w:val="003B2C41"/>
    <w:rsid w:val="004769FB"/>
    <w:rsid w:val="004C6E51"/>
    <w:rsid w:val="004E7BAF"/>
    <w:rsid w:val="006263F8"/>
    <w:rsid w:val="00674365"/>
    <w:rsid w:val="00723170"/>
    <w:rsid w:val="008F6D95"/>
    <w:rsid w:val="009A0913"/>
    <w:rsid w:val="009E4619"/>
    <w:rsid w:val="00A459C2"/>
    <w:rsid w:val="00A91FA3"/>
    <w:rsid w:val="00AF6D9E"/>
    <w:rsid w:val="00B474A7"/>
    <w:rsid w:val="00B53DC3"/>
    <w:rsid w:val="00C04C69"/>
    <w:rsid w:val="00C60507"/>
    <w:rsid w:val="00CC62C0"/>
    <w:rsid w:val="00DB380F"/>
    <w:rsid w:val="00DD5A10"/>
    <w:rsid w:val="00E23638"/>
    <w:rsid w:val="00ED2485"/>
    <w:rsid w:val="00ED768F"/>
    <w:rsid w:val="00F7259B"/>
    <w:rsid w:val="00FB203B"/>
    <w:rsid w:val="00F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A10"/>
    <w:pPr>
      <w:spacing w:after="0" w:line="360" w:lineRule="auto"/>
      <w:ind w:firstLine="56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5A10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A10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A10"/>
    <w:pPr>
      <w:spacing w:after="0" w:line="360" w:lineRule="auto"/>
      <w:ind w:firstLine="56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5A10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A10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jpachnowska</dc:creator>
  <cp:lastModifiedBy>jpachnowska</cp:lastModifiedBy>
  <cp:revision>9</cp:revision>
  <cp:lastPrinted>2014-10-03T09:28:00Z</cp:lastPrinted>
  <dcterms:created xsi:type="dcterms:W3CDTF">2014-09-23T13:12:00Z</dcterms:created>
  <dcterms:modified xsi:type="dcterms:W3CDTF">2014-10-17T08:17:00Z</dcterms:modified>
</cp:coreProperties>
</file>