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F3A" w:rsidRDefault="00F73F3A" w:rsidP="00F50E04">
      <w:pPr>
        <w:spacing w:after="0" w:line="23" w:lineRule="atLeast"/>
        <w:rPr>
          <w:rFonts w:cs="Arial"/>
          <w:b/>
          <w:sz w:val="24"/>
          <w:szCs w:val="24"/>
        </w:rPr>
      </w:pPr>
      <w:bookmarkStart w:id="0" w:name="_GoBack"/>
      <w:bookmarkEnd w:id="0"/>
    </w:p>
    <w:p w:rsidR="0002062B" w:rsidRPr="00CE0AD6" w:rsidRDefault="002C1D99" w:rsidP="00CE0AD6">
      <w:pPr>
        <w:spacing w:before="120" w:after="0"/>
        <w:jc w:val="both"/>
        <w:rPr>
          <w:rFonts w:ascii="Arial" w:eastAsiaTheme="minorHAnsi" w:hAnsi="Arial" w:cs="Arial"/>
          <w:i/>
          <w:color w:val="000000" w:themeColor="text1"/>
          <w:sz w:val="18"/>
          <w:szCs w:val="18"/>
        </w:rPr>
      </w:pPr>
      <w:r w:rsidRPr="00CE0AD6">
        <w:rPr>
          <w:rFonts w:ascii="Arial" w:eastAsiaTheme="minorHAnsi" w:hAnsi="Arial" w:cs="Arial"/>
          <w:i/>
          <w:sz w:val="18"/>
          <w:szCs w:val="18"/>
        </w:rPr>
        <w:t xml:space="preserve">Załącznik nr 3 do RPD PT RPO WZ 2014-2020  </w:t>
      </w:r>
      <w:r w:rsidR="0002062B" w:rsidRPr="00CE0AD6">
        <w:rPr>
          <w:rFonts w:ascii="Arial" w:eastAsiaTheme="minorHAnsi" w:hAnsi="Arial" w:cs="Arial"/>
          <w:i/>
          <w:color w:val="000000" w:themeColor="text1"/>
          <w:sz w:val="18"/>
          <w:szCs w:val="18"/>
        </w:rPr>
        <w:t>na rok 201</w:t>
      </w:r>
      <w:r w:rsidR="003F603A" w:rsidRPr="00CE0AD6">
        <w:rPr>
          <w:rFonts w:ascii="Arial" w:eastAsiaTheme="minorHAnsi" w:hAnsi="Arial" w:cs="Arial"/>
          <w:i/>
          <w:color w:val="000000" w:themeColor="text1"/>
          <w:sz w:val="18"/>
          <w:szCs w:val="18"/>
        </w:rPr>
        <w:t>6</w:t>
      </w:r>
    </w:p>
    <w:p w:rsidR="0002062B" w:rsidRDefault="0002062B" w:rsidP="00F50E04">
      <w:pPr>
        <w:spacing w:after="0" w:line="23" w:lineRule="atLeast"/>
        <w:rPr>
          <w:rFonts w:cs="Arial"/>
          <w:b/>
          <w:sz w:val="24"/>
          <w:szCs w:val="24"/>
        </w:rPr>
      </w:pPr>
    </w:p>
    <w:p w:rsidR="002C1D99" w:rsidRPr="00F50E04" w:rsidRDefault="002C1D99" w:rsidP="00CE0AD6">
      <w:pPr>
        <w:spacing w:after="0" w:line="23" w:lineRule="atLeast"/>
        <w:jc w:val="center"/>
        <w:rPr>
          <w:rFonts w:cs="Arial"/>
          <w:b/>
          <w:sz w:val="24"/>
          <w:szCs w:val="24"/>
        </w:rPr>
      </w:pPr>
      <w:r w:rsidRPr="00F50E04">
        <w:rPr>
          <w:rFonts w:cs="Arial"/>
          <w:b/>
          <w:sz w:val="24"/>
          <w:szCs w:val="24"/>
        </w:rPr>
        <w:t>Metodyka rozliczania kosztów</w:t>
      </w:r>
      <w:r>
        <w:rPr>
          <w:rFonts w:cs="Arial"/>
          <w:b/>
          <w:sz w:val="24"/>
          <w:szCs w:val="24"/>
        </w:rPr>
        <w:t xml:space="preserve"> w IP ZIT KKBOF</w:t>
      </w:r>
    </w:p>
    <w:p w:rsidR="002C1D99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F73F3A" w:rsidRPr="00F50E04" w:rsidRDefault="00F73F3A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Pr="00F73F3A" w:rsidRDefault="002C1D99" w:rsidP="00F50E04">
      <w:pPr>
        <w:spacing w:after="0" w:line="23" w:lineRule="atLeast"/>
        <w:rPr>
          <w:rFonts w:cs="Arial"/>
          <w:b/>
          <w:szCs w:val="20"/>
        </w:rPr>
      </w:pPr>
      <w:r w:rsidRPr="00F73F3A">
        <w:rPr>
          <w:rFonts w:cs="Arial"/>
          <w:b/>
          <w:szCs w:val="20"/>
        </w:rPr>
        <w:t>1. Kwalifikowalność wydatków</w:t>
      </w:r>
    </w:p>
    <w:p w:rsidR="002C1D99" w:rsidRPr="00F50E04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 xml:space="preserve">Zasady opisane w niniejszym opracowaniu są zgodne z zapisami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 w:rsidRPr="00CD22A6">
        <w:rPr>
          <w:sz w:val="20"/>
          <w:szCs w:val="20"/>
        </w:rPr>
        <w:t xml:space="preserve"> oraz </w:t>
      </w:r>
      <w:r w:rsidRPr="00CD22A6">
        <w:rPr>
          <w:i/>
          <w:sz w:val="20"/>
          <w:szCs w:val="20"/>
        </w:rPr>
        <w:t>Wytycznych MIiR w zakresie kwalifikowalności wydatków w zakresie Europejskiego Funduszu Rozwoju Regionalnego, Europejskiego Funduszu Społecznego oraz Funduszu Spójności w okresie programowania na lata 2014-2020</w:t>
      </w:r>
      <w:r w:rsidRPr="00CD22A6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>Wydatkowanie środków pomocy technicznej w IP ZIT KKBOF odbywa się zgodnie z zachowaniem zasad: legalności, rzetelności, gospodarności i celowości, a ponadto z zachowaniem wysokiej jakości realizowanych działań, użyteczności, efektywności</w:t>
      </w:r>
      <w:r>
        <w:rPr>
          <w:sz w:val="20"/>
          <w:szCs w:val="20"/>
        </w:rPr>
        <w:t xml:space="preserve"> </w:t>
      </w:r>
      <w:r w:rsidRPr="00CD22A6">
        <w:rPr>
          <w:sz w:val="20"/>
          <w:szCs w:val="20"/>
        </w:rPr>
        <w:t>oraz przejrzystości działania</w:t>
      </w:r>
      <w:r>
        <w:rPr>
          <w:sz w:val="20"/>
          <w:szCs w:val="20"/>
        </w:rPr>
        <w:t>.</w:t>
      </w:r>
    </w:p>
    <w:p w:rsidR="002C1D99" w:rsidRPr="00264D4B" w:rsidRDefault="002C1D99" w:rsidP="00E81B03">
      <w:pPr>
        <w:pStyle w:val="Akapitzlist"/>
        <w:spacing w:after="0" w:line="23" w:lineRule="atLeast"/>
        <w:ind w:left="360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2. Wynagrodzenia</w:t>
      </w:r>
    </w:p>
    <w:p w:rsidR="002C1D99" w:rsidRPr="00264D4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 w:rsidRPr="00264D4B">
        <w:rPr>
          <w:b/>
          <w:sz w:val="20"/>
          <w:szCs w:val="20"/>
        </w:rPr>
        <w:t>2.1</w:t>
      </w:r>
      <w:r>
        <w:rPr>
          <w:b/>
          <w:sz w:val="20"/>
          <w:szCs w:val="20"/>
        </w:rPr>
        <w:t xml:space="preserve"> –</w:t>
      </w:r>
      <w:r w:rsidRPr="00264D4B">
        <w:rPr>
          <w:b/>
          <w:sz w:val="20"/>
          <w:szCs w:val="20"/>
        </w:rPr>
        <w:t xml:space="preserve"> Wynagrodzenie zasadnicze</w:t>
      </w:r>
    </w:p>
    <w:p w:rsidR="002C1D99" w:rsidRPr="00264D4B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561941" w:rsidRPr="00827BA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827BA1">
        <w:rPr>
          <w:sz w:val="20"/>
          <w:szCs w:val="20"/>
        </w:rPr>
        <w:t>Opisy stanowisk pracy</w:t>
      </w:r>
      <w:r>
        <w:rPr>
          <w:sz w:val="20"/>
          <w:szCs w:val="20"/>
        </w:rPr>
        <w:t xml:space="preserve">, zawarte w zakresach czynności, </w:t>
      </w:r>
      <w:r w:rsidRPr="00827BA1">
        <w:rPr>
          <w:sz w:val="20"/>
          <w:szCs w:val="20"/>
        </w:rPr>
        <w:t>będące podstawą do określenia poziomu kwalifikowalności wynagrodzenia określają: wymiar czasu pracy, zakres zadań, procentowy udział zadań kwalifikowalnych na stanowisku pracy – zwany dalej poziomem kwalifikowalności stanowiska pracy oraz datę, od której wykonywane są zadania wskazane w tym dokumencie. Opisy stanowisk pracy są oznakowane zgodnie</w:t>
      </w:r>
      <w:r>
        <w:rPr>
          <w:sz w:val="20"/>
          <w:szCs w:val="20"/>
        </w:rPr>
        <w:t xml:space="preserve"> </w:t>
      </w:r>
      <w:r w:rsidRPr="00827BA1">
        <w:rPr>
          <w:sz w:val="20"/>
          <w:szCs w:val="20"/>
        </w:rPr>
        <w:t>z zasadami informacji i promocji.</w:t>
      </w:r>
    </w:p>
    <w:p w:rsidR="0056194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Referat Zintegrowanych Inwestycji Terytorialnych powołany w strukturach Urzędu Miejskiego w Koszalinie pełni funkcję Instytucji Pośredniczącej ZIT KKBOF, pracownicy Referatu ZIT wykonują zadania w przypisane zadaniom IP ZIT KKBOF – poziom kwalifikowalności wynagrodzeń pracowników ZIT stanowi 100%.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264D4B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 KKBOF </w:t>
      </w:r>
      <w:r w:rsidRPr="00264D4B">
        <w:rPr>
          <w:sz w:val="20"/>
          <w:szCs w:val="20"/>
        </w:rPr>
        <w:t xml:space="preserve">ze środków pomocy technicznej odbywa się na warunkach określonych w </w:t>
      </w:r>
      <w:r w:rsidRPr="00561941">
        <w:rPr>
          <w:i/>
          <w:sz w:val="20"/>
          <w:szCs w:val="20"/>
        </w:rPr>
        <w:t>R</w:t>
      </w:r>
      <w:r w:rsidR="00561941">
        <w:rPr>
          <w:i/>
          <w:sz w:val="20"/>
          <w:szCs w:val="20"/>
        </w:rPr>
        <w:t xml:space="preserve">ocznym </w:t>
      </w:r>
      <w:r w:rsidRPr="00561941">
        <w:rPr>
          <w:i/>
          <w:sz w:val="20"/>
          <w:szCs w:val="20"/>
        </w:rPr>
        <w:t>P</w:t>
      </w:r>
      <w:r w:rsidR="00561941">
        <w:rPr>
          <w:i/>
          <w:sz w:val="20"/>
          <w:szCs w:val="20"/>
        </w:rPr>
        <w:t xml:space="preserve">lanie </w:t>
      </w:r>
      <w:r w:rsidRPr="00561941">
        <w:rPr>
          <w:i/>
          <w:sz w:val="20"/>
          <w:szCs w:val="20"/>
        </w:rPr>
        <w:t>D</w:t>
      </w:r>
      <w:r w:rsidR="00561941">
        <w:rPr>
          <w:i/>
          <w:sz w:val="20"/>
          <w:szCs w:val="20"/>
        </w:rPr>
        <w:t>ziałań</w:t>
      </w:r>
      <w:r w:rsidRPr="00561941">
        <w:rPr>
          <w:i/>
          <w:sz w:val="20"/>
          <w:szCs w:val="20"/>
        </w:rPr>
        <w:t xml:space="preserve"> P</w:t>
      </w:r>
      <w:r w:rsidR="00561941">
        <w:rPr>
          <w:i/>
          <w:sz w:val="20"/>
          <w:szCs w:val="20"/>
        </w:rPr>
        <w:t xml:space="preserve">omocy </w:t>
      </w:r>
      <w:r w:rsidRPr="00561941">
        <w:rPr>
          <w:i/>
          <w:sz w:val="20"/>
          <w:szCs w:val="20"/>
        </w:rPr>
        <w:t>T</w:t>
      </w:r>
      <w:r w:rsidR="00561941">
        <w:rPr>
          <w:i/>
          <w:sz w:val="20"/>
          <w:szCs w:val="20"/>
        </w:rPr>
        <w:t>echnicznej</w:t>
      </w:r>
      <w:r w:rsidRPr="00561941">
        <w:rPr>
          <w:i/>
          <w:sz w:val="20"/>
          <w:szCs w:val="20"/>
        </w:rPr>
        <w:t xml:space="preserve"> RPO WZ</w:t>
      </w:r>
      <w:r w:rsidRPr="00264D4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174B7C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ZITKKBOF </w:t>
      </w:r>
      <w:r w:rsidRPr="00174B7C">
        <w:rPr>
          <w:sz w:val="20"/>
          <w:szCs w:val="20"/>
        </w:rPr>
        <w:t xml:space="preserve">ze środków pomocy technicznej </w:t>
      </w:r>
      <w:r>
        <w:rPr>
          <w:sz w:val="20"/>
          <w:szCs w:val="20"/>
        </w:rPr>
        <w:t>udzielane jest w związku z wykonywaniem zadań</w:t>
      </w:r>
      <w:r w:rsidRPr="00174B7C">
        <w:rPr>
          <w:sz w:val="20"/>
          <w:szCs w:val="20"/>
        </w:rPr>
        <w:t xml:space="preserve"> w ramach działań, </w:t>
      </w:r>
      <w:r>
        <w:rPr>
          <w:sz w:val="20"/>
          <w:szCs w:val="20"/>
        </w:rPr>
        <w:t>które zostały określone</w:t>
      </w:r>
      <w:r w:rsidRPr="00174B7C">
        <w:rPr>
          <w:sz w:val="20"/>
          <w:szCs w:val="20"/>
        </w:rPr>
        <w:t xml:space="preserve"> w rozdziale 2</w:t>
      </w:r>
      <w:r>
        <w:rPr>
          <w:sz w:val="20"/>
          <w:szCs w:val="20"/>
        </w:rPr>
        <w:t xml:space="preserve">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302277">
      <w:pPr>
        <w:tabs>
          <w:tab w:val="right" w:pos="9000"/>
        </w:tabs>
        <w:spacing w:after="0" w:line="23" w:lineRule="atLeast"/>
        <w:jc w:val="both"/>
        <w:rPr>
          <w:sz w:val="20"/>
          <w:szCs w:val="20"/>
        </w:rPr>
      </w:pPr>
    </w:p>
    <w:p w:rsidR="002C1D99" w:rsidRPr="00197097" w:rsidRDefault="002C1D99" w:rsidP="00302277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2.2 –</w:t>
      </w:r>
      <w:r w:rsidRPr="00197097">
        <w:rPr>
          <w:b/>
          <w:sz w:val="20"/>
          <w:szCs w:val="20"/>
        </w:rPr>
        <w:t xml:space="preserve"> </w:t>
      </w:r>
      <w:r w:rsidRPr="00302277">
        <w:rPr>
          <w:b/>
          <w:sz w:val="20"/>
          <w:szCs w:val="20"/>
        </w:rPr>
        <w:t>Dodatkowe wynagrodzenie roczne</w:t>
      </w:r>
    </w:p>
    <w:p w:rsidR="002C1D99" w:rsidRPr="0030227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 w:rsidRPr="00302277">
        <w:rPr>
          <w:sz w:val="20"/>
          <w:szCs w:val="20"/>
        </w:rPr>
        <w:t>Poziom kwalifikowalności dodatkowego wynagrodzenia rocznego</w:t>
      </w:r>
      <w:r>
        <w:rPr>
          <w:sz w:val="20"/>
          <w:szCs w:val="20"/>
        </w:rPr>
        <w:t xml:space="preserve"> </w:t>
      </w:r>
      <w:r w:rsidR="00561941">
        <w:rPr>
          <w:sz w:val="20"/>
          <w:szCs w:val="20"/>
        </w:rPr>
        <w:t xml:space="preserve">(DWR) </w:t>
      </w:r>
      <w:r>
        <w:rPr>
          <w:sz w:val="20"/>
          <w:szCs w:val="20"/>
        </w:rPr>
        <w:t xml:space="preserve">pracowników Referatu ZIT, wynosi 100%. </w:t>
      </w: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W danym roku kalendarzowym kwalifikowalność</w:t>
      </w:r>
      <w:r w:rsidRPr="00302277">
        <w:rPr>
          <w:sz w:val="20"/>
          <w:szCs w:val="20"/>
        </w:rPr>
        <w:t xml:space="preserve"> </w:t>
      </w:r>
      <w:r>
        <w:rPr>
          <w:sz w:val="20"/>
          <w:szCs w:val="20"/>
        </w:rPr>
        <w:t>rozpoczyna się z dniem oddelegowania pracownika do Referatu ZIT lub dniem zatrudnienia pracownika w Referacie ZIT. Kwalifikowalność DWR jest liczona proporcjonalnie.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2.3 – </w:t>
      </w:r>
      <w:r w:rsidRPr="000357C3">
        <w:rPr>
          <w:b/>
          <w:sz w:val="20"/>
          <w:szCs w:val="20"/>
        </w:rPr>
        <w:t>Wypłaty z funduszu nagród, nagrody i premie</w:t>
      </w:r>
    </w:p>
    <w:p w:rsidR="002C1D99" w:rsidRPr="000357C3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premie, które są przyznawane pracownikom IP ZIT KKBOF i które wynikają z powszechnie obowiązujących przepisów prawa lub Regulaminu wynagradzania Urzędu Miejskiego w Koszalinie i są udzielane na takich samych zasadach, jak innym pracownikom instytucji są wydatkiem kwalifikowalnym, gdyż ze środków pomocy technicznej finansowane jest wynagrodzenie zasadnicze</w:t>
      </w:r>
      <w:r>
        <w:rPr>
          <w:sz w:val="20"/>
          <w:szCs w:val="20"/>
        </w:rPr>
        <w:t xml:space="preserve"> </w:t>
      </w:r>
      <w:r w:rsidRPr="006677AE">
        <w:rPr>
          <w:sz w:val="20"/>
          <w:szCs w:val="20"/>
        </w:rPr>
        <w:t>pracowników</w:t>
      </w:r>
      <w:r>
        <w:rPr>
          <w:sz w:val="20"/>
          <w:szCs w:val="20"/>
        </w:rPr>
        <w:t xml:space="preserve"> IP ZIT KKBOF.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</w:t>
      </w:r>
      <w:r>
        <w:rPr>
          <w:sz w:val="20"/>
          <w:szCs w:val="20"/>
        </w:rPr>
        <w:t>, o których mowa w pkt. 1) są rozliczane</w:t>
      </w:r>
      <w:r w:rsidRPr="00601702">
        <w:rPr>
          <w:sz w:val="20"/>
          <w:szCs w:val="20"/>
        </w:rPr>
        <w:t xml:space="preserve">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E3455D">
        <w:rPr>
          <w:sz w:val="20"/>
          <w:szCs w:val="20"/>
        </w:rPr>
        <w:t>Wypłaty z funduszu nagród, nagrody i premie przyznawane za pracę</w:t>
      </w:r>
      <w:r>
        <w:rPr>
          <w:sz w:val="20"/>
          <w:szCs w:val="20"/>
        </w:rPr>
        <w:t xml:space="preserve"> pracowników niepracujących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w Referacie ZIT a wykonujących zadania związane</w:t>
      </w:r>
      <w:r w:rsidRPr="00E3455D">
        <w:rPr>
          <w:sz w:val="20"/>
          <w:szCs w:val="20"/>
        </w:rPr>
        <w:t xml:space="preserve"> z wdrażaniem </w:t>
      </w:r>
      <w:r>
        <w:rPr>
          <w:sz w:val="20"/>
          <w:szCs w:val="20"/>
        </w:rPr>
        <w:t>ZIT KKBOF</w:t>
      </w:r>
      <w:r w:rsidRPr="00E345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są </w:t>
      </w:r>
      <w:r w:rsidRPr="00E3455D">
        <w:rPr>
          <w:sz w:val="20"/>
          <w:szCs w:val="20"/>
        </w:rPr>
        <w:t>kwalifikowalne</w:t>
      </w:r>
      <w:r>
        <w:rPr>
          <w:sz w:val="20"/>
          <w:szCs w:val="20"/>
        </w:rPr>
        <w:t xml:space="preserve"> </w:t>
      </w:r>
      <w:r w:rsidRPr="00E3455D">
        <w:rPr>
          <w:sz w:val="20"/>
          <w:szCs w:val="20"/>
        </w:rPr>
        <w:t xml:space="preserve">ze środków </w:t>
      </w:r>
      <w:r w:rsidRPr="00E3455D">
        <w:rPr>
          <w:sz w:val="20"/>
          <w:szCs w:val="20"/>
        </w:rPr>
        <w:lastRenderedPageBreak/>
        <w:t>pomocy technicznej</w:t>
      </w:r>
      <w:r>
        <w:rPr>
          <w:sz w:val="20"/>
          <w:szCs w:val="20"/>
        </w:rPr>
        <w:t xml:space="preserve"> za zgodą </w:t>
      </w:r>
      <w:r w:rsidRPr="00561941">
        <w:rPr>
          <w:sz w:val="20"/>
          <w:szCs w:val="20"/>
        </w:rPr>
        <w:t>IZ RPO WZ</w:t>
      </w:r>
      <w:r>
        <w:rPr>
          <w:sz w:val="20"/>
          <w:szCs w:val="20"/>
        </w:rPr>
        <w:t xml:space="preserve"> zgodnie z pkt 4) Podrozdziału 7.1.3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sz w:val="20"/>
          <w:szCs w:val="20"/>
        </w:rPr>
        <w:t>.</w:t>
      </w:r>
    </w:p>
    <w:p w:rsidR="002C1D99" w:rsidRPr="007F6366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7F6366">
        <w:rPr>
          <w:sz w:val="20"/>
          <w:szCs w:val="20"/>
        </w:rPr>
        <w:t>Wypłaty z funduszu nagród, nagrody i premie przyznawane za pracę niezwiązaną z wdrażaniem funduszy polityki spójności nie są kwalifikowalne ze środków pomocy technicznej. Do kosztów kwalifikowalnych nie należą także nagrody jubileuszowe, specjalne za staż</w:t>
      </w:r>
      <w:r>
        <w:rPr>
          <w:sz w:val="20"/>
          <w:szCs w:val="20"/>
        </w:rPr>
        <w:t xml:space="preserve"> </w:t>
      </w:r>
      <w:r w:rsidRPr="007F6366">
        <w:rPr>
          <w:sz w:val="20"/>
          <w:szCs w:val="20"/>
        </w:rPr>
        <w:t>pracy w jednostce organizacyjnej</w:t>
      </w:r>
      <w:r>
        <w:rPr>
          <w:sz w:val="20"/>
          <w:szCs w:val="20"/>
        </w:rPr>
        <w:t xml:space="preserve"> ani odprawy pracownicze.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  <w:r w:rsidRPr="00023A97">
        <w:rPr>
          <w:sz w:val="20"/>
          <w:szCs w:val="20"/>
        </w:rPr>
        <w:t xml:space="preserve"> </w:t>
      </w: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2.4 – </w:t>
      </w:r>
      <w:r w:rsidRPr="00023A97">
        <w:rPr>
          <w:b/>
          <w:sz w:val="20"/>
          <w:szCs w:val="20"/>
        </w:rPr>
        <w:t>Wynagrodzenie za czas urlopu</w:t>
      </w:r>
    </w:p>
    <w:p w:rsidR="002C1D99" w:rsidRPr="00023A9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601702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 xml:space="preserve">Wynagrodzenie oraz ekwiwalent za urlop wypoczynkowy lub dodatkowy urlop wypoczynkowy, przysługujący pracownikowi na podstawie odrębnych przepisów, </w:t>
      </w:r>
      <w:r>
        <w:rPr>
          <w:sz w:val="20"/>
          <w:szCs w:val="20"/>
        </w:rPr>
        <w:t>są</w:t>
      </w:r>
      <w:r w:rsidRPr="00601702">
        <w:rPr>
          <w:sz w:val="20"/>
          <w:szCs w:val="20"/>
        </w:rPr>
        <w:t xml:space="preserve"> rozliczane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>Urlop szkoleniowy jest rozliczany zgodnie z poziomem kwalifikowalności wynagrodzenia pracownika, którego dotyczy oraz zgodnie z zasadami</w:t>
      </w:r>
      <w:r>
        <w:rPr>
          <w:sz w:val="20"/>
          <w:szCs w:val="20"/>
        </w:rPr>
        <w:t xml:space="preserve"> </w:t>
      </w:r>
      <w:r w:rsidRPr="00601702">
        <w:rPr>
          <w:sz w:val="20"/>
          <w:szCs w:val="20"/>
        </w:rPr>
        <w:t xml:space="preserve">obowiązującymi w </w:t>
      </w:r>
      <w:r>
        <w:rPr>
          <w:sz w:val="20"/>
          <w:szCs w:val="20"/>
        </w:rPr>
        <w:t>Urzędzie Miejskim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2.5 – </w:t>
      </w:r>
      <w:r w:rsidRPr="00560A0B">
        <w:rPr>
          <w:b/>
          <w:sz w:val="20"/>
          <w:szCs w:val="20"/>
        </w:rPr>
        <w:t>Inne składniki wynagrodzenia za pracę</w:t>
      </w:r>
    </w:p>
    <w:p w:rsidR="002C1D99" w:rsidRPr="00601702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560A0B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Dodatki zadaniowe, specjalne oraz inne wypłacane z tytułu czasowego nałożenia przez pracodawcę dodatkowych zadań są kwalifikowalne, o ile łącznie spełniają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następujące warunki: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ze środków pomocy technicznej finansowane jest wynagrodzenie zasadnicze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danych pr</w:t>
      </w:r>
      <w:r>
        <w:rPr>
          <w:sz w:val="20"/>
          <w:szCs w:val="20"/>
        </w:rPr>
        <w:t xml:space="preserve">acowników,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z zastrzeżeniem pkt 2) niniejszej sekcji</w:t>
      </w:r>
      <w:r w:rsidRPr="00560A0B">
        <w:rPr>
          <w:sz w:val="20"/>
          <w:szCs w:val="20"/>
        </w:rPr>
        <w:t>,</w:t>
      </w:r>
    </w:p>
    <w:p w:rsidR="002C1D99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dotyczą zadań w zakresie funduszy polityki spójności</w:t>
      </w:r>
      <w:r>
        <w:rPr>
          <w:sz w:val="20"/>
          <w:szCs w:val="20"/>
        </w:rPr>
        <w:t xml:space="preserve"> w ramach ZIT KKBOF</w:t>
      </w:r>
      <w:r w:rsidRPr="00560A0B">
        <w:rPr>
          <w:sz w:val="20"/>
          <w:szCs w:val="20"/>
        </w:rPr>
        <w:t>,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 xml:space="preserve">zostały wypłacone zgodnie z przepisami, na podstawie których zostały przyznane i są przyznawane na takich samych zasadach jak innym pracownikom </w:t>
      </w:r>
      <w:r w:rsidR="00504084" w:rsidRPr="00895ACD">
        <w:rPr>
          <w:sz w:val="20"/>
          <w:szCs w:val="20"/>
        </w:rPr>
        <w:t>Urzędu Miejskiego w Koszalinie</w:t>
      </w:r>
      <w:r w:rsidRPr="00560A0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W uzasadnionych przypadkach</w:t>
      </w:r>
      <w:r>
        <w:rPr>
          <w:sz w:val="20"/>
          <w:szCs w:val="20"/>
        </w:rPr>
        <w:t xml:space="preserve"> za zgodą</w:t>
      </w:r>
      <w:r w:rsidRPr="00895ACD">
        <w:rPr>
          <w:sz w:val="20"/>
          <w:szCs w:val="20"/>
        </w:rPr>
        <w:t xml:space="preserve"> </w:t>
      </w:r>
      <w:r w:rsidRPr="00504084">
        <w:rPr>
          <w:sz w:val="20"/>
          <w:szCs w:val="20"/>
        </w:rPr>
        <w:t>IZ RPO WZ</w:t>
      </w:r>
      <w:r w:rsidRPr="00895ACD">
        <w:rPr>
          <w:sz w:val="20"/>
          <w:szCs w:val="20"/>
        </w:rPr>
        <w:t>, możliwe jest rozliczenie ze środków pomocy technicznej wydatków związanych z dodatkami przyznanymi pracownikom, których wynagrodzenie zasadnicze nie jest</w:t>
      </w:r>
      <w:r>
        <w:rPr>
          <w:sz w:val="20"/>
          <w:szCs w:val="20"/>
        </w:rPr>
        <w:t xml:space="preserve"> </w:t>
      </w:r>
      <w:r w:rsidRPr="00895ACD">
        <w:rPr>
          <w:sz w:val="20"/>
          <w:szCs w:val="20"/>
        </w:rPr>
        <w:t>rozliczane w danym okresie ze środków pomocy technicznej</w:t>
      </w:r>
      <w:r>
        <w:rPr>
          <w:sz w:val="20"/>
          <w:szCs w:val="20"/>
        </w:rPr>
        <w:t>, zgodnie</w:t>
      </w:r>
      <w:r w:rsidRPr="00895A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pkt 5) Podrozdziału 7.1.5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Kwalifikowalne są również inne dodatki do wynagrodzeń wynikające z obowiązujących przepisów prawa oraz regulaminów wewnętrznych Urzędu Miejskiego w Koszalinie, np. dodatki motywacyjne, funkcyjne, służbowe, itp.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B468F7">
        <w:rPr>
          <w:sz w:val="20"/>
          <w:szCs w:val="20"/>
        </w:rPr>
        <w:t xml:space="preserve">Dodatki są rozliczane zgodnie z poziomem kwalifikowalności wynagrodzenia pracownika, którego dotyczą. 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3. </w:t>
      </w:r>
      <w:r w:rsidRPr="00B468F7">
        <w:rPr>
          <w:b/>
          <w:sz w:val="20"/>
          <w:szCs w:val="20"/>
        </w:rPr>
        <w:t>Podnoszenie kwalifikacji</w:t>
      </w:r>
    </w:p>
    <w:p w:rsidR="002C1D99" w:rsidRPr="00B468F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>W ramach podnoszenia kwalifikacji, z pomocy technicznej możliwe jest finansowanie zarówno indywidualnych szkoleń pracowników, jak i wydatków związanych z przygotowaniem i przeprowadzeniem szkoleń (m.in. wynajem pomieszczeń, zakwaterowanie, transport, wyżywienie uczestników szkoleń, zakup usług szkoleniowych i dydaktycznych niezbędnych do przeprowadzenia szkolenia). Pod pojęciem szkolenia należy rozumieć wszystkie dostępne formy kształcenia (krajowe i zagraniczne) tj.: szkolenia, e-learning, warsztaty, seminaria, staże, kursy, kursy kończące się certyfikatem (np. CIA, CGAP i inne), wizyty studyjne, studia I, II i III</w:t>
      </w:r>
      <w:r>
        <w:rPr>
          <w:sz w:val="20"/>
          <w:szCs w:val="20"/>
        </w:rPr>
        <w:t xml:space="preserve"> </w:t>
      </w:r>
      <w:r w:rsidRPr="001E4F54">
        <w:rPr>
          <w:sz w:val="20"/>
          <w:szCs w:val="20"/>
        </w:rPr>
        <w:t>stopnia, studia podyplomowe, aplikacje radcowskie, itp.).</w:t>
      </w: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 xml:space="preserve">Podnoszenie kwalifikacji pracowników odbywa się zgodnie z założeniami opisanymi w dokumentach, </w:t>
      </w:r>
      <w:r w:rsidR="00F73F3A">
        <w:rPr>
          <w:sz w:val="20"/>
          <w:szCs w:val="20"/>
        </w:rPr>
        <w:br/>
      </w:r>
      <w:r w:rsidRPr="001E4F54">
        <w:rPr>
          <w:sz w:val="20"/>
          <w:szCs w:val="20"/>
        </w:rPr>
        <w:t xml:space="preserve">o których mowa w pkt </w:t>
      </w:r>
      <w:r w:rsidR="00C94E1B">
        <w:rPr>
          <w:sz w:val="20"/>
          <w:szCs w:val="20"/>
        </w:rPr>
        <w:t>3</w:t>
      </w:r>
      <w:r>
        <w:rPr>
          <w:sz w:val="20"/>
          <w:szCs w:val="20"/>
        </w:rPr>
        <w:t>) sekcji 2</w:t>
      </w:r>
      <w:r w:rsidRPr="001E4F54">
        <w:rPr>
          <w:sz w:val="20"/>
          <w:szCs w:val="20"/>
        </w:rPr>
        <w:t xml:space="preserve">.1 </w:t>
      </w:r>
      <w:r>
        <w:rPr>
          <w:sz w:val="20"/>
          <w:szCs w:val="20"/>
        </w:rPr>
        <w:t>niniejszego opracowania</w:t>
      </w:r>
      <w:r w:rsidRPr="001E4F54">
        <w:rPr>
          <w:sz w:val="20"/>
          <w:szCs w:val="20"/>
        </w:rPr>
        <w:t>.</w:t>
      </w:r>
    </w:p>
    <w:p w:rsidR="002C1D99" w:rsidRPr="0084316F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84316F">
        <w:rPr>
          <w:sz w:val="20"/>
          <w:szCs w:val="20"/>
        </w:rPr>
        <w:t>Warunkiem finansowania szkolenia jest zgodność tematyki z polityką szkoleniową</w:t>
      </w:r>
      <w:r>
        <w:rPr>
          <w:sz w:val="20"/>
          <w:szCs w:val="20"/>
        </w:rPr>
        <w:t xml:space="preserve"> </w:t>
      </w:r>
      <w:r w:rsidR="00C94E1B" w:rsidRPr="00895ACD">
        <w:rPr>
          <w:sz w:val="20"/>
          <w:szCs w:val="20"/>
        </w:rPr>
        <w:t xml:space="preserve">Urzędu Miejskiego </w:t>
      </w:r>
      <w:r w:rsidR="00F73F3A">
        <w:rPr>
          <w:sz w:val="20"/>
          <w:szCs w:val="20"/>
        </w:rPr>
        <w:br/>
      </w:r>
      <w:r w:rsidR="00C94E1B" w:rsidRPr="00895ACD">
        <w:rPr>
          <w:sz w:val="20"/>
          <w:szCs w:val="20"/>
        </w:rPr>
        <w:t>w Koszalinie</w:t>
      </w:r>
      <w:r w:rsidR="007D2395">
        <w:rPr>
          <w:sz w:val="20"/>
          <w:szCs w:val="20"/>
        </w:rPr>
        <w:t>, Instytucji Zarządzającej RPO WZ 2014-2020</w:t>
      </w:r>
      <w:r w:rsidR="00C94E1B" w:rsidRPr="0084316F">
        <w:rPr>
          <w:sz w:val="20"/>
          <w:szCs w:val="20"/>
        </w:rPr>
        <w:t xml:space="preserve"> </w:t>
      </w:r>
      <w:r w:rsidRPr="0084316F">
        <w:rPr>
          <w:sz w:val="20"/>
          <w:szCs w:val="20"/>
        </w:rPr>
        <w:t>lub zakresem obowiązków pracownika.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ramach podnoszenia kwalifikacji, z pomocy technicznej finansować można również opłaty wpisowe pod warunkiem podjęcia studiów lub innych form szkoleniowych, które takiej opłaty wymagają, a także koszty egzaminów, pod warunkiem uzyskania pozytywnej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oceny.</w:t>
      </w:r>
    </w:p>
    <w:p w:rsidR="002C1D99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odniesieniu do szkoleń językowych, co do zasady wydatkami kwalifikowalnymi są wydatki poniesione</w:t>
      </w:r>
      <w:r w:rsidR="00C94E1B">
        <w:rPr>
          <w:sz w:val="20"/>
          <w:szCs w:val="20"/>
        </w:rPr>
        <w:t xml:space="preserve"> na naukę języków urzędowych UE</w:t>
      </w:r>
      <w:r w:rsidRPr="00EF24F6">
        <w:rPr>
          <w:sz w:val="20"/>
          <w:szCs w:val="20"/>
        </w:rPr>
        <w:t xml:space="preserve"> chyba</w:t>
      </w:r>
      <w:r w:rsidR="00C94E1B">
        <w:rPr>
          <w:sz w:val="20"/>
          <w:szCs w:val="20"/>
        </w:rPr>
        <w:t>,</w:t>
      </w:r>
      <w:r w:rsidRPr="00EF24F6">
        <w:rPr>
          <w:sz w:val="20"/>
          <w:szCs w:val="20"/>
        </w:rPr>
        <w:t xml:space="preserve"> że uzasadnione jest na danym stanowisku pracy finansowanie nauki innego języka.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Studia z zakresu Master of Business Administration, a także koszty postępowania kwalifikacyjnego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służbie cywilnej wraz z kosztami kursu przygotowawczego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 xml:space="preserve">stanowią wydatek niekwalifikowalny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ramach pomocy technicznej.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lastRenderedPageBreak/>
        <w:t>W ramach wydatków szkoleniowych kwalifikowalne są również koszty diet,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przejazdów oraz zakwaterowania uczestników szkoleń.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W przypadku finansowania ze środków pomocy technicznej studiów podyplomowych oraz studiów I, II, III stopnia, koszty diet, przejazdów oraz zakwaterowania stanowią wydatek kwalifikowalny wyłącznie w sytuacji, gdy możliwość finansowania tego typu wydatków wynika bezpośrednio z regulacji wewnętrznych </w:t>
      </w:r>
      <w:r w:rsidR="00B8203E" w:rsidRPr="00895ACD">
        <w:rPr>
          <w:sz w:val="20"/>
          <w:szCs w:val="20"/>
        </w:rPr>
        <w:t>Urzędu Miejskiego w Koszalinie</w:t>
      </w:r>
      <w:r w:rsidR="00B8203E" w:rsidRPr="0084316F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i obejmuje wszystkich pracowników na takich samych zasadach.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Kwalifikowalność wydatków szkoleniowych powinna zostać potwierdzona odpowiednim dokumentem,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 xml:space="preserve">z którego wynika udział lub ukończenie szkolenia (nie dotyczy wizyt studyjnych). W przypadku, gdy dokument, o którym mowa powyżej jest wydawany po zakończeniu realizacji projektu, w ramach którego szkolenie zostało sfinansowane, </w:t>
      </w:r>
      <w:r w:rsidR="00A2159F">
        <w:rPr>
          <w:sz w:val="20"/>
          <w:szCs w:val="20"/>
        </w:rPr>
        <w:t>należy</w:t>
      </w:r>
      <w:r w:rsidR="00A2159F" w:rsidRPr="00EF24F6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niezwłocznie uzupełnić dokumentację.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Zakup materiałów szkoleniowych (np. podręczników) jest kwalifikowalny w przypadku, gdy szkolenie jest organizowane przez beneficjenta i materiały te są niezbędne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do przeprowadzenia szkolenia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 xml:space="preserve">Zakup materiałów szkoleniowych jest niekwalifikowalny w przypadku, gdy pracownik uczestniczy </w:t>
      </w:r>
      <w:r w:rsidR="00F73F3A">
        <w:rPr>
          <w:sz w:val="20"/>
          <w:szCs w:val="20"/>
        </w:rPr>
        <w:br/>
      </w:r>
      <w:r w:rsidRPr="00D43250">
        <w:rPr>
          <w:sz w:val="20"/>
          <w:szCs w:val="20"/>
        </w:rPr>
        <w:t>w indywidualnych formach kształcenia (np. kursy językowe, studia</w:t>
      </w:r>
      <w:r w:rsidRPr="00D43250">
        <w:t xml:space="preserve"> </w:t>
      </w:r>
      <w:r w:rsidRPr="00D43250">
        <w:rPr>
          <w:sz w:val="20"/>
          <w:szCs w:val="20"/>
        </w:rPr>
        <w:t>podyplomowe) i na własne potrzeby planuje zakupić dodatkowe materiały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szkoleniowe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Wydatki związane z formami szkoleniowymi, w których ostatecznie pracownik nie uczestniczył, stanowią wydatek niekwalifikowalny w ramach projektów pomocy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technicznej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F73F3A" w:rsidRPr="002F62AE" w:rsidRDefault="00F73F3A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  <w:u w:val="single"/>
        </w:rPr>
      </w:pPr>
      <w:r w:rsidRPr="00F73F3A">
        <w:rPr>
          <w:b/>
          <w:szCs w:val="20"/>
        </w:rPr>
        <w:t>4. Wsparcie funkcjonowania instytucji zaangażowanych w realizację polityki spójności</w:t>
      </w:r>
    </w:p>
    <w:p w:rsidR="002C1D99" w:rsidRPr="002F62AE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Czynsz i opłaty eksploatacyjne związane z wykorzystaniem pomieszczeń Biura ZIT KKBOF stanowią wydatki kwalifikowalne.</w:t>
      </w:r>
    </w:p>
    <w:p w:rsidR="002C1D99" w:rsidRPr="0010373E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 w:rsidRPr="0010373E">
        <w:rPr>
          <w:sz w:val="20"/>
          <w:szCs w:val="20"/>
        </w:rPr>
        <w:t>Wydatki niezbędne do sprawnego funkcjonowania</w:t>
      </w:r>
      <w:r>
        <w:rPr>
          <w:sz w:val="20"/>
          <w:szCs w:val="20"/>
        </w:rPr>
        <w:t xml:space="preserve"> </w:t>
      </w:r>
      <w:r w:rsidRPr="0010373E">
        <w:rPr>
          <w:sz w:val="20"/>
          <w:szCs w:val="20"/>
        </w:rPr>
        <w:t>instytucji, których nie można jednostkowo przypisać do stanowiska pracy</w:t>
      </w:r>
      <w:r>
        <w:rPr>
          <w:sz w:val="20"/>
          <w:szCs w:val="20"/>
        </w:rPr>
        <w:t xml:space="preserve"> (tzw. koszty „pozapłacowe”) są pokrywane ze środków Urzędu Miejskiego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Pr="006B0602">
        <w:rPr>
          <w:b/>
          <w:sz w:val="20"/>
          <w:szCs w:val="20"/>
        </w:rPr>
        <w:t xml:space="preserve">.1 </w:t>
      </w:r>
      <w:r>
        <w:rPr>
          <w:b/>
          <w:sz w:val="20"/>
          <w:szCs w:val="20"/>
        </w:rPr>
        <w:t xml:space="preserve">– </w:t>
      </w:r>
      <w:r w:rsidRPr="006B0602">
        <w:rPr>
          <w:b/>
          <w:sz w:val="20"/>
          <w:szCs w:val="20"/>
        </w:rPr>
        <w:t>Adaptacja, remont, modernizacja oraz utrzymanie powierzchni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Wydatki kwalifikowalne dot. adaptacji, remontu, modernizacji oraz utrzymania powierzchni dotyczą prac, które służą utrzymaniu stanu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 xml:space="preserve">pomieszczeń </w:t>
      </w:r>
      <w:r>
        <w:rPr>
          <w:sz w:val="20"/>
          <w:szCs w:val="20"/>
        </w:rPr>
        <w:t xml:space="preserve">Biura ZIT KKBOF </w:t>
      </w:r>
      <w:r w:rsidRPr="008F5613">
        <w:rPr>
          <w:sz w:val="20"/>
          <w:szCs w:val="20"/>
        </w:rPr>
        <w:t>w standardzie umożliwiającym efektywne wykonywanie zadań.</w:t>
      </w:r>
    </w:p>
    <w:p w:rsidR="002C1D99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 xml:space="preserve">Sfinansowanie kosztów remontu, adaptacji lub modernizacji wymaga zapewnienia wykorzystywania wyremontowanych pomieszczeń przez cały okres pełnienia funkcji IP ZIT KKBOF w systemie realizacji polityki spójności. </w:t>
      </w:r>
      <w:r w:rsidR="00974F18" w:rsidRPr="00B8203E">
        <w:rPr>
          <w:sz w:val="20"/>
          <w:szCs w:val="20"/>
        </w:rPr>
        <w:t xml:space="preserve">Może nastąpić </w:t>
      </w:r>
      <w:r w:rsidR="00974F18">
        <w:rPr>
          <w:sz w:val="20"/>
          <w:szCs w:val="20"/>
        </w:rPr>
        <w:t>u</w:t>
      </w:r>
      <w:r w:rsidRPr="00B8203E">
        <w:rPr>
          <w:sz w:val="20"/>
          <w:szCs w:val="20"/>
        </w:rPr>
        <w:t>zasadniona zmiana wyremontowanej siedziby przy zastrzeżeniu, że nie będzie już przysługiwało finansowanie z pomocy technicznej kosztów remontu w nowej siedzibie.</w:t>
      </w:r>
    </w:p>
    <w:p w:rsidR="007D2395" w:rsidRPr="008F5613" w:rsidRDefault="007D2395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Kwalifikowane są również wydatki opisane w pkt 1) w przypadku </w:t>
      </w:r>
      <w:r w:rsidR="000B6C3A">
        <w:rPr>
          <w:sz w:val="20"/>
          <w:szCs w:val="20"/>
        </w:rPr>
        <w:t xml:space="preserve">uzasadnionego </w:t>
      </w:r>
      <w:r>
        <w:rPr>
          <w:sz w:val="20"/>
          <w:szCs w:val="20"/>
        </w:rPr>
        <w:t>wynajęcia dodatkowej liczby pomieszczeń.</w:t>
      </w: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Niekwalifikowalne w ramach pomocy technicznej są koszty związane z utrzymaniem, remontem lub modernizacją powierzchni, która nie jest bezpośrednio wykorzystywana w trakcie realizacji zadań kwalifikowalnych, np. parking, elewacja budynku, tereny zielone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>itp.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4.2 – </w:t>
      </w:r>
      <w:r w:rsidRPr="006B0602">
        <w:rPr>
          <w:b/>
          <w:sz w:val="20"/>
          <w:szCs w:val="20"/>
        </w:rPr>
        <w:t>Środki transportu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Zakup środków transportu jest niekwalifikowalny ze środków pomocy technicznej.</w:t>
      </w:r>
    </w:p>
    <w:p w:rsidR="002C1D99" w:rsidRPr="00BC02A0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 xml:space="preserve">Kwalifikowalne </w:t>
      </w:r>
      <w:r w:rsidRPr="00BC02A0">
        <w:rPr>
          <w:sz w:val="20"/>
          <w:szCs w:val="20"/>
        </w:rPr>
        <w:t>mogą być koszty związane z użytkowaniem środków transportu należąc</w:t>
      </w:r>
      <w:r w:rsidR="00974F18">
        <w:rPr>
          <w:sz w:val="20"/>
          <w:szCs w:val="20"/>
        </w:rPr>
        <w:t>ych</w:t>
      </w:r>
      <w:r w:rsidRPr="00BC02A0">
        <w:rPr>
          <w:sz w:val="20"/>
          <w:szCs w:val="20"/>
        </w:rPr>
        <w:t xml:space="preserve"> do Gminy Miasto Koszalin i na zasadach obowiązujących w Urzędzie Miejskim w Koszalinie.</w:t>
      </w:r>
    </w:p>
    <w:p w:rsidR="002C1D99" w:rsidRPr="006B0602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Wyliczenia poziomu kwalifikowalności wydatków, związanych z użytkowaniem środka transportu, należy dokonać proporcjonalnie do jego wykorzystania w zakresie realizacji</w:t>
      </w:r>
      <w:r>
        <w:rPr>
          <w:sz w:val="20"/>
          <w:szCs w:val="20"/>
        </w:rPr>
        <w:t xml:space="preserve"> </w:t>
      </w:r>
      <w:r w:rsidRPr="006B0602">
        <w:rPr>
          <w:sz w:val="20"/>
          <w:szCs w:val="20"/>
        </w:rPr>
        <w:t>zadań związanych z realizacją funduszy polityki spójności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4.3 – </w:t>
      </w:r>
      <w:r w:rsidRPr="00F7741B">
        <w:rPr>
          <w:b/>
          <w:sz w:val="20"/>
          <w:szCs w:val="20"/>
        </w:rPr>
        <w:t>Wyposażenie stanowiska pracy</w:t>
      </w:r>
    </w:p>
    <w:p w:rsidR="002C1D99" w:rsidRPr="00F7741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DE5724">
        <w:rPr>
          <w:sz w:val="20"/>
          <w:szCs w:val="20"/>
        </w:rPr>
        <w:t xml:space="preserve">Wydatki na zakup sprzętu, oprogramowania i wyposażenia, które można bezpośrednio powiązać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z pracownikiem są kwalifikowalne i mogą być w całości finansowane</w:t>
      </w:r>
      <w:r>
        <w:rPr>
          <w:sz w:val="20"/>
          <w:szCs w:val="20"/>
        </w:rPr>
        <w:t xml:space="preserve"> </w:t>
      </w:r>
      <w:r w:rsidRPr="00DE5724">
        <w:rPr>
          <w:sz w:val="20"/>
          <w:szCs w:val="20"/>
        </w:rPr>
        <w:t xml:space="preserve">ze środków pomocy technicznej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w przypadku pracowników IP ZIT KKBOF.</w:t>
      </w:r>
    </w:p>
    <w:p w:rsidR="002C1D99" w:rsidRPr="00235F21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235F21">
        <w:rPr>
          <w:sz w:val="20"/>
          <w:szCs w:val="20"/>
        </w:rPr>
        <w:t>Zakup sprzętu i wyposażenia, którego nie można bezpośrednio powiązać z pracownikiem (np. drukarki sieciowe, kserokopia</w:t>
      </w:r>
      <w:r>
        <w:rPr>
          <w:sz w:val="20"/>
          <w:szCs w:val="20"/>
        </w:rPr>
        <w:t xml:space="preserve">rki, tonery do drukarek itp.), ale </w:t>
      </w:r>
      <w:r w:rsidRPr="00235F21">
        <w:rPr>
          <w:sz w:val="20"/>
          <w:szCs w:val="20"/>
        </w:rPr>
        <w:t xml:space="preserve">jest on nabywany na potrzeby instytucji zajmującej się </w:t>
      </w:r>
      <w:r w:rsidRPr="00235F21">
        <w:rPr>
          <w:sz w:val="20"/>
          <w:szCs w:val="20"/>
        </w:rPr>
        <w:lastRenderedPageBreak/>
        <w:t>obsługą funduszy polityki spójności – IP ZIT KKBOF, w której poziom kwalifikowalności pracowników wynosi 100% (jak określono w pkt</w:t>
      </w:r>
      <w:r w:rsidR="00974F18">
        <w:rPr>
          <w:sz w:val="20"/>
          <w:szCs w:val="20"/>
        </w:rPr>
        <w:t xml:space="preserve"> 2</w:t>
      </w:r>
      <w:r w:rsidRPr="00235F21">
        <w:rPr>
          <w:sz w:val="20"/>
          <w:szCs w:val="20"/>
        </w:rPr>
        <w:t xml:space="preserve">) sekcji 2.1 niniejszego opracowania), </w:t>
      </w:r>
      <w:r>
        <w:rPr>
          <w:sz w:val="20"/>
          <w:szCs w:val="20"/>
        </w:rPr>
        <w:t>jest finansowany</w:t>
      </w:r>
      <w:r w:rsidRPr="00235F21">
        <w:rPr>
          <w:sz w:val="20"/>
          <w:szCs w:val="20"/>
        </w:rPr>
        <w:t xml:space="preserve"> w całości ze środków</w:t>
      </w:r>
      <w:r>
        <w:rPr>
          <w:sz w:val="20"/>
          <w:szCs w:val="20"/>
        </w:rPr>
        <w:t xml:space="preserve"> </w:t>
      </w:r>
      <w:r w:rsidRPr="00235F21">
        <w:rPr>
          <w:sz w:val="20"/>
          <w:szCs w:val="20"/>
        </w:rPr>
        <w:t>pomocy technicznej</w:t>
      </w:r>
      <w:r>
        <w:rPr>
          <w:sz w:val="20"/>
          <w:szCs w:val="20"/>
        </w:rPr>
        <w:t>.</w:t>
      </w:r>
    </w:p>
    <w:p w:rsidR="002C1D99" w:rsidRPr="009402CD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9402CD">
        <w:rPr>
          <w:sz w:val="20"/>
          <w:szCs w:val="20"/>
        </w:rPr>
        <w:t>Kwalifikowalne jest niezbędne wyposażenie stanowiska pracy określone w odpowiednich</w:t>
      </w:r>
      <w:r>
        <w:rPr>
          <w:sz w:val="20"/>
          <w:szCs w:val="20"/>
        </w:rPr>
        <w:t xml:space="preserve"> </w:t>
      </w:r>
      <w:r w:rsidRPr="009402CD">
        <w:rPr>
          <w:sz w:val="20"/>
          <w:szCs w:val="20"/>
        </w:rPr>
        <w:t>przepisach BHP (biurko, krzesło, zagłówki, podnóżki, apteczka itp.).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964D46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4.4 – </w:t>
      </w:r>
      <w:r w:rsidRPr="00964D46">
        <w:rPr>
          <w:b/>
          <w:sz w:val="20"/>
          <w:szCs w:val="20"/>
        </w:rPr>
        <w:t>Delegacje służbowe</w:t>
      </w:r>
    </w:p>
    <w:p w:rsidR="00974F18" w:rsidRPr="00275191" w:rsidRDefault="00974F18" w:rsidP="00275191">
      <w:pPr>
        <w:spacing w:after="0" w:line="23" w:lineRule="atLeast"/>
        <w:jc w:val="both"/>
        <w:rPr>
          <w:sz w:val="20"/>
          <w:szCs w:val="20"/>
        </w:rPr>
      </w:pP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Cel delegacji powinien być bezpośrednio związany z zadaniami kwalifikowalnymi instytucji w zakresie realizacji polityki spójności a wydatki poniesione w ramach delegacji nie powinny przekraczać limitów obowiązujących daną jednostkę na podstawie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przepisów krajowych lub regulacji wewnętrznych.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Przejazdy powinny odbywać się przy użyciu najbardziej efektywnych i uzasadnionych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ekonomicznie środków transportu.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 xml:space="preserve">Prywatne środki transportu rozliczane są tylko do wysokości określonej w odpowiednich przepisach krajowych lub w regulaminach wewnętrznych </w:t>
      </w:r>
      <w:r>
        <w:rPr>
          <w:sz w:val="20"/>
          <w:szCs w:val="20"/>
        </w:rPr>
        <w:t>Urzędu Miejskiego w Koszalinie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Ze środków pomocy technicznej możliwe jest rozliczenie kosztów delegacji pracownika obsługującego podróż służbową (kierowcy) oraz opłaty za przejazd płatnymi odcinkami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dróg.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Koszty parkingu mogą być rozliczone w przypadku, gdy dotyczą delegacji (np. opłata za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parking hotelowy).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opłatami manipulacyjnymi (np. dopłata za bilet kolejowy u konduktora, opłata za zmianę rezerwacji biletu lotniczego itp.) mogą być uznane za kwalifikowalne jedynie w uzasadnionych okolicznościach i po indywidualnej interpretacji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 xml:space="preserve">każdego przypadku przez </w:t>
      </w:r>
      <w:r w:rsidRPr="00275191">
        <w:rPr>
          <w:sz w:val="20"/>
          <w:szCs w:val="20"/>
        </w:rPr>
        <w:t>IZ RPO WZ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podróżami służbowymi, które nie doszły do skutku stanowią wydatek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niekwalifikowalny w ramach projektów pomocy technicznej.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5. Informacja i promocja</w:t>
      </w:r>
    </w:p>
    <w:p w:rsidR="002C1D99" w:rsidRPr="00BE3B2F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Ze środków pomocy technicznej możliwe jest finansowanie wydatków związanych z promocją oraz informacją w zakresie funduszy polityki spójności.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 xml:space="preserve">Wydatki związane z informacją i promocją funduszy polityki spójności są kwalifikowalne pod warunkiem ich zgodności z warunkami opisanymi w </w:t>
      </w:r>
      <w:r w:rsidRPr="000C1E65">
        <w:rPr>
          <w:i/>
          <w:sz w:val="20"/>
          <w:szCs w:val="20"/>
        </w:rPr>
        <w:t>Wytycznych MIiR w zakresie informacji i promocji programów operacyjnych polityki spójności na lata 2014-2020</w:t>
      </w:r>
      <w:r w:rsidRPr="000C1E65">
        <w:rPr>
          <w:sz w:val="20"/>
          <w:szCs w:val="20"/>
        </w:rPr>
        <w:t xml:space="preserve">, wydanych na podstawie art. 5 ust. 1 pkt 9 </w:t>
      </w:r>
      <w:r w:rsidRPr="000C1E65">
        <w:rPr>
          <w:i/>
          <w:sz w:val="20"/>
          <w:szCs w:val="20"/>
        </w:rPr>
        <w:t>ustaw</w:t>
      </w:r>
      <w:r>
        <w:rPr>
          <w:i/>
          <w:sz w:val="20"/>
          <w:szCs w:val="20"/>
        </w:rPr>
        <w:t>y</w:t>
      </w:r>
      <w:r w:rsidRPr="000C1E65">
        <w:rPr>
          <w:i/>
          <w:sz w:val="20"/>
          <w:szCs w:val="20"/>
        </w:rPr>
        <w:t xml:space="preserve"> z dnia </w:t>
      </w:r>
      <w:r w:rsidRPr="00275191">
        <w:rPr>
          <w:i/>
          <w:spacing w:val="-2"/>
          <w:sz w:val="20"/>
          <w:szCs w:val="20"/>
        </w:rPr>
        <w:t>11 lipca 2014 r. o zasadach realizacji programów w zakresie polityki spójności finansowanych w perspektywie</w:t>
      </w:r>
      <w:r w:rsidRPr="000C1E65">
        <w:rPr>
          <w:i/>
          <w:sz w:val="20"/>
          <w:szCs w:val="20"/>
        </w:rPr>
        <w:t xml:space="preserve"> finansowej 2014-2020 (Dz.U. 2014, poz. 1146)</w:t>
      </w:r>
      <w:r w:rsidRPr="000C1E65">
        <w:rPr>
          <w:sz w:val="20"/>
          <w:szCs w:val="20"/>
        </w:rPr>
        <w:t>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 xml:space="preserve">Kwalifikowalne są wydatki na działania niezbędne do realizacji wspólnej strategii komunikacji polityki </w:t>
      </w:r>
      <w:r w:rsidRPr="00BC02A0">
        <w:rPr>
          <w:sz w:val="20"/>
          <w:szCs w:val="20"/>
        </w:rPr>
        <w:t>spójności, jak i strategii komunikacji RPO WZ 2014-2020</w:t>
      </w:r>
      <w:r w:rsidRPr="00BE3B2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 xml:space="preserve">z wykorzystaniem odpowiednich narzędzi </w:t>
      </w:r>
      <w:r w:rsidR="00F73F3A">
        <w:rPr>
          <w:sz w:val="20"/>
          <w:szCs w:val="20"/>
        </w:rPr>
        <w:br/>
      </w:r>
      <w:r w:rsidRPr="00BE3B2F">
        <w:rPr>
          <w:sz w:val="20"/>
          <w:szCs w:val="20"/>
        </w:rPr>
        <w:t>i kanałów.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 ramach działań informacyjno</w:t>
      </w:r>
      <w:r w:rsidR="005F49D5">
        <w:rPr>
          <w:sz w:val="20"/>
          <w:szCs w:val="20"/>
        </w:rPr>
        <w:t>-</w:t>
      </w:r>
      <w:r w:rsidRPr="00BE3B2F">
        <w:rPr>
          <w:sz w:val="20"/>
          <w:szCs w:val="20"/>
        </w:rPr>
        <w:t>promocyjnych możliwe jest finansowanie szkoleń dla pracowników instytucji zaangażowanych w realizację funduszy polityki spójności,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beneficjentów, potencjalnych b</w:t>
      </w:r>
      <w:r>
        <w:rPr>
          <w:sz w:val="20"/>
          <w:szCs w:val="20"/>
        </w:rPr>
        <w:t xml:space="preserve">eneficjentów </w:t>
      </w:r>
      <w:r w:rsidR="005F49D5">
        <w:rPr>
          <w:sz w:val="20"/>
          <w:szCs w:val="20"/>
        </w:rPr>
        <w:t>oraz</w:t>
      </w:r>
      <w:r>
        <w:rPr>
          <w:sz w:val="20"/>
          <w:szCs w:val="20"/>
        </w:rPr>
        <w:t xml:space="preserve"> partnerów.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Wydatki na cele reprezentacyjne, które nie są związane z promocją funduszy polityki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spójności są niekwalifikowalne.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>W odniesieniu do projektów związanych z informacją i promocją, w przypadku wystąpienia wydatków związanych z wynagrodzeniami, szkoleniami oraz wsparciem funkcjonowania instytucji, mają zastosowanie warunki opisane w podrozdziałach 7.1, 7.2</w:t>
      </w:r>
      <w:r>
        <w:rPr>
          <w:sz w:val="20"/>
          <w:szCs w:val="20"/>
        </w:rPr>
        <w:t xml:space="preserve"> i 7.3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sectPr w:rsidR="002C1D99" w:rsidSect="004F3C7D">
      <w:foot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ABC" w:rsidRDefault="00D45ABC" w:rsidP="004F3C7D">
      <w:pPr>
        <w:spacing w:after="0" w:line="240" w:lineRule="auto"/>
      </w:pPr>
      <w:r>
        <w:separator/>
      </w:r>
    </w:p>
  </w:endnote>
  <w:endnote w:type="continuationSeparator" w:id="0">
    <w:p w:rsidR="00D45ABC" w:rsidRDefault="00D45ABC" w:rsidP="004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662948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F3C7D" w:rsidRPr="004F3C7D" w:rsidRDefault="004F3C7D">
        <w:pPr>
          <w:pStyle w:val="Stopka"/>
          <w:jc w:val="right"/>
          <w:rPr>
            <w:sz w:val="20"/>
            <w:szCs w:val="20"/>
          </w:rPr>
        </w:pPr>
        <w:r w:rsidRPr="004F3C7D">
          <w:rPr>
            <w:sz w:val="20"/>
            <w:szCs w:val="20"/>
          </w:rPr>
          <w:fldChar w:fldCharType="begin"/>
        </w:r>
        <w:r w:rsidRPr="004F3C7D">
          <w:rPr>
            <w:sz w:val="20"/>
            <w:szCs w:val="20"/>
          </w:rPr>
          <w:instrText>PAGE   \* MERGEFORMAT</w:instrText>
        </w:r>
        <w:r w:rsidRPr="004F3C7D">
          <w:rPr>
            <w:sz w:val="20"/>
            <w:szCs w:val="20"/>
          </w:rPr>
          <w:fldChar w:fldCharType="separate"/>
        </w:r>
        <w:r w:rsidR="00DE3514">
          <w:rPr>
            <w:noProof/>
            <w:sz w:val="20"/>
            <w:szCs w:val="20"/>
          </w:rPr>
          <w:t>4</w:t>
        </w:r>
        <w:r w:rsidRPr="004F3C7D">
          <w:rPr>
            <w:sz w:val="20"/>
            <w:szCs w:val="20"/>
          </w:rPr>
          <w:fldChar w:fldCharType="end"/>
        </w:r>
      </w:p>
    </w:sdtContent>
  </w:sdt>
  <w:p w:rsidR="004F3C7D" w:rsidRDefault="004F3C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ABC" w:rsidRDefault="00D45ABC" w:rsidP="004F3C7D">
      <w:pPr>
        <w:spacing w:after="0" w:line="240" w:lineRule="auto"/>
      </w:pPr>
      <w:r>
        <w:separator/>
      </w:r>
    </w:p>
  </w:footnote>
  <w:footnote w:type="continuationSeparator" w:id="0">
    <w:p w:rsidR="00D45ABC" w:rsidRDefault="00D45ABC" w:rsidP="004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C7D" w:rsidRDefault="004F3C7D">
    <w:pPr>
      <w:pStyle w:val="Nagwek"/>
    </w:pPr>
    <w:r>
      <w:rPr>
        <w:noProof/>
        <w:lang w:eastAsia="pl-PL"/>
      </w:rPr>
      <w:drawing>
        <wp:inline distT="0" distB="0" distL="0" distR="0" wp14:anchorId="7487F17C" wp14:editId="1E48185C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3C7D" w:rsidRDefault="004F3C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83DA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8D608F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A1B2DB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0F629D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2E573E5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3B92B3B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4686683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36255FE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3A0C122F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2F32A2A"/>
    <w:multiLevelType w:val="hybridMultilevel"/>
    <w:tmpl w:val="91FA9F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38F0A7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91B5664"/>
    <w:multiLevelType w:val="hybridMultilevel"/>
    <w:tmpl w:val="C436D4D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548E0016"/>
    <w:multiLevelType w:val="hybridMultilevel"/>
    <w:tmpl w:val="E98676E2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62B86F4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6B9A3FC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6CC814D1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85102D2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8"/>
  </w:num>
  <w:num w:numId="5">
    <w:abstractNumId w:val="14"/>
  </w:num>
  <w:num w:numId="6">
    <w:abstractNumId w:val="0"/>
  </w:num>
  <w:num w:numId="7">
    <w:abstractNumId w:val="13"/>
  </w:num>
  <w:num w:numId="8">
    <w:abstractNumId w:val="1"/>
  </w:num>
  <w:num w:numId="9">
    <w:abstractNumId w:val="12"/>
  </w:num>
  <w:num w:numId="10">
    <w:abstractNumId w:val="7"/>
  </w:num>
  <w:num w:numId="11">
    <w:abstractNumId w:val="10"/>
  </w:num>
  <w:num w:numId="12">
    <w:abstractNumId w:val="5"/>
  </w:num>
  <w:num w:numId="13">
    <w:abstractNumId w:val="16"/>
  </w:num>
  <w:num w:numId="14">
    <w:abstractNumId w:val="3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365"/>
    <w:rsid w:val="0002062B"/>
    <w:rsid w:val="00023A97"/>
    <w:rsid w:val="000357C3"/>
    <w:rsid w:val="000B3952"/>
    <w:rsid w:val="000B6C3A"/>
    <w:rsid w:val="000C1E65"/>
    <w:rsid w:val="000D5EDD"/>
    <w:rsid w:val="000F31FE"/>
    <w:rsid w:val="0010373E"/>
    <w:rsid w:val="001432BA"/>
    <w:rsid w:val="00174B7C"/>
    <w:rsid w:val="00197097"/>
    <w:rsid w:val="001E4F54"/>
    <w:rsid w:val="00216876"/>
    <w:rsid w:val="00235F21"/>
    <w:rsid w:val="00240691"/>
    <w:rsid w:val="00264D4B"/>
    <w:rsid w:val="00275191"/>
    <w:rsid w:val="002C1D99"/>
    <w:rsid w:val="002C7B08"/>
    <w:rsid w:val="002E6A0C"/>
    <w:rsid w:val="002F62AE"/>
    <w:rsid w:val="00302277"/>
    <w:rsid w:val="00332634"/>
    <w:rsid w:val="00390720"/>
    <w:rsid w:val="00391A1F"/>
    <w:rsid w:val="003B6A67"/>
    <w:rsid w:val="003F603A"/>
    <w:rsid w:val="004A62D5"/>
    <w:rsid w:val="004B1EDB"/>
    <w:rsid w:val="004B7453"/>
    <w:rsid w:val="004E5F39"/>
    <w:rsid w:val="004F3C7D"/>
    <w:rsid w:val="005032A0"/>
    <w:rsid w:val="00504084"/>
    <w:rsid w:val="00505147"/>
    <w:rsid w:val="00560A0B"/>
    <w:rsid w:val="00561941"/>
    <w:rsid w:val="00566A09"/>
    <w:rsid w:val="005D57A7"/>
    <w:rsid w:val="005F49D5"/>
    <w:rsid w:val="00601702"/>
    <w:rsid w:val="00647E53"/>
    <w:rsid w:val="006677AE"/>
    <w:rsid w:val="006B0602"/>
    <w:rsid w:val="0075228D"/>
    <w:rsid w:val="007831F4"/>
    <w:rsid w:val="00795182"/>
    <w:rsid w:val="007B5F7B"/>
    <w:rsid w:val="007D1E54"/>
    <w:rsid w:val="007D2395"/>
    <w:rsid w:val="007F6366"/>
    <w:rsid w:val="00806E06"/>
    <w:rsid w:val="00810C3A"/>
    <w:rsid w:val="00827BA1"/>
    <w:rsid w:val="0084316F"/>
    <w:rsid w:val="00851863"/>
    <w:rsid w:val="00895ACD"/>
    <w:rsid w:val="008E4409"/>
    <w:rsid w:val="008F5613"/>
    <w:rsid w:val="009138CE"/>
    <w:rsid w:val="009249B5"/>
    <w:rsid w:val="009310E6"/>
    <w:rsid w:val="00932A27"/>
    <w:rsid w:val="009402CD"/>
    <w:rsid w:val="00964D46"/>
    <w:rsid w:val="00974F18"/>
    <w:rsid w:val="00984B93"/>
    <w:rsid w:val="00991610"/>
    <w:rsid w:val="00A2159F"/>
    <w:rsid w:val="00A31F56"/>
    <w:rsid w:val="00AD1C44"/>
    <w:rsid w:val="00AD3351"/>
    <w:rsid w:val="00B468F7"/>
    <w:rsid w:val="00B7477B"/>
    <w:rsid w:val="00B80148"/>
    <w:rsid w:val="00B8203E"/>
    <w:rsid w:val="00BC02A0"/>
    <w:rsid w:val="00BC10DB"/>
    <w:rsid w:val="00BD455F"/>
    <w:rsid w:val="00BE3B2F"/>
    <w:rsid w:val="00C35C2C"/>
    <w:rsid w:val="00C860B5"/>
    <w:rsid w:val="00C94E1B"/>
    <w:rsid w:val="00CD22A6"/>
    <w:rsid w:val="00CE0AD6"/>
    <w:rsid w:val="00CE7FD2"/>
    <w:rsid w:val="00D37940"/>
    <w:rsid w:val="00D43250"/>
    <w:rsid w:val="00D45ABC"/>
    <w:rsid w:val="00D977F1"/>
    <w:rsid w:val="00DD0F91"/>
    <w:rsid w:val="00DE3514"/>
    <w:rsid w:val="00DE5724"/>
    <w:rsid w:val="00E3455D"/>
    <w:rsid w:val="00E35365"/>
    <w:rsid w:val="00E42471"/>
    <w:rsid w:val="00E81B03"/>
    <w:rsid w:val="00E85841"/>
    <w:rsid w:val="00EF24F6"/>
    <w:rsid w:val="00EF4847"/>
    <w:rsid w:val="00F05F43"/>
    <w:rsid w:val="00F07948"/>
    <w:rsid w:val="00F14554"/>
    <w:rsid w:val="00F50E04"/>
    <w:rsid w:val="00F73F3A"/>
    <w:rsid w:val="00F7741B"/>
    <w:rsid w:val="00FD4E8A"/>
    <w:rsid w:val="00FE0158"/>
    <w:rsid w:val="00FF0F29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1019FF4-B4A7-4D52-B878-680F2DC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2042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RPD PT RPO WZ 2014-2020  –  Metodyka rozliczania kosztów</vt:lpstr>
    </vt:vector>
  </TitlesOfParts>
  <Company/>
  <LinksUpToDate>false</LinksUpToDate>
  <CharactersWithSpaces>14267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RPD PT RPO WZ 2014-2020  –  Metodyka rozliczania kosztów</dc:title>
  <dc:creator>Ola</dc:creator>
  <cp:lastModifiedBy>Renata Szott</cp:lastModifiedBy>
  <cp:revision>2</cp:revision>
  <dcterms:created xsi:type="dcterms:W3CDTF">2016-11-14T10:58:00Z</dcterms:created>
  <dcterms:modified xsi:type="dcterms:W3CDTF">2016-11-14T10:58:00Z</dcterms:modified>
</cp:coreProperties>
</file>