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3F3A" w:rsidRDefault="00F73F3A" w:rsidP="00F50E04">
      <w:pPr>
        <w:spacing w:after="0" w:line="23" w:lineRule="atLeast"/>
        <w:rPr>
          <w:rFonts w:cs="Arial"/>
          <w:b/>
          <w:sz w:val="24"/>
          <w:szCs w:val="24"/>
        </w:rPr>
      </w:pPr>
    </w:p>
    <w:p w:rsidR="0002062B" w:rsidRPr="0074578D" w:rsidRDefault="00D03E06" w:rsidP="0074578D">
      <w:pPr>
        <w:spacing w:before="120" w:after="0"/>
        <w:jc w:val="both"/>
        <w:rPr>
          <w:rFonts w:ascii="Arial" w:eastAsiaTheme="minorHAnsi" w:hAnsi="Arial" w:cs="Arial"/>
          <w:i/>
          <w:sz w:val="18"/>
          <w:szCs w:val="18"/>
        </w:rPr>
      </w:pPr>
      <w:r>
        <w:rPr>
          <w:rFonts w:ascii="Arial" w:eastAsiaTheme="minorHAnsi" w:hAnsi="Arial" w:cs="Arial"/>
          <w:i/>
          <w:sz w:val="18"/>
          <w:szCs w:val="18"/>
        </w:rPr>
        <w:t>Załącznik nr 4</w:t>
      </w:r>
      <w:r w:rsidR="002C1D99" w:rsidRPr="0074578D">
        <w:rPr>
          <w:rFonts w:ascii="Arial" w:eastAsiaTheme="minorHAnsi" w:hAnsi="Arial" w:cs="Arial"/>
          <w:i/>
          <w:sz w:val="18"/>
          <w:szCs w:val="18"/>
        </w:rPr>
        <w:t xml:space="preserve"> do RPD PT RPO WZ 2014-2020  </w:t>
      </w:r>
      <w:r w:rsidR="00E6333B">
        <w:rPr>
          <w:rFonts w:ascii="Arial" w:eastAsiaTheme="minorHAnsi" w:hAnsi="Arial" w:cs="Arial"/>
          <w:i/>
          <w:sz w:val="18"/>
          <w:szCs w:val="18"/>
        </w:rPr>
        <w:t>na rok 20</w:t>
      </w:r>
      <w:r w:rsidR="0064684C">
        <w:rPr>
          <w:rFonts w:ascii="Arial" w:eastAsiaTheme="minorHAnsi" w:hAnsi="Arial" w:cs="Arial"/>
          <w:i/>
          <w:sz w:val="18"/>
          <w:szCs w:val="18"/>
        </w:rPr>
        <w:t>20</w:t>
      </w:r>
      <w:bookmarkStart w:id="0" w:name="_GoBack"/>
      <w:bookmarkEnd w:id="0"/>
    </w:p>
    <w:p w:rsidR="0002062B" w:rsidRDefault="0002062B" w:rsidP="00F50E04">
      <w:pPr>
        <w:spacing w:after="0" w:line="23" w:lineRule="atLeast"/>
        <w:rPr>
          <w:rFonts w:cs="Arial"/>
          <w:b/>
          <w:sz w:val="24"/>
          <w:szCs w:val="24"/>
        </w:rPr>
      </w:pPr>
    </w:p>
    <w:p w:rsidR="002C1D99" w:rsidRPr="00F50E04" w:rsidRDefault="002C1D99" w:rsidP="0074578D">
      <w:pPr>
        <w:spacing w:after="0" w:line="23" w:lineRule="atLeast"/>
        <w:jc w:val="center"/>
        <w:rPr>
          <w:rFonts w:cs="Arial"/>
          <w:b/>
          <w:sz w:val="24"/>
          <w:szCs w:val="24"/>
        </w:rPr>
      </w:pPr>
      <w:r w:rsidRPr="00F50E04">
        <w:rPr>
          <w:rFonts w:cs="Arial"/>
          <w:b/>
          <w:sz w:val="24"/>
          <w:szCs w:val="24"/>
        </w:rPr>
        <w:t>Metodyka rozliczania kosztów</w:t>
      </w:r>
      <w:r>
        <w:rPr>
          <w:rFonts w:cs="Arial"/>
          <w:b/>
          <w:sz w:val="24"/>
          <w:szCs w:val="24"/>
        </w:rPr>
        <w:t xml:space="preserve"> w IP ZIT KKBOF</w:t>
      </w:r>
    </w:p>
    <w:p w:rsidR="002C1D99" w:rsidRDefault="002C1D99" w:rsidP="00F50E04">
      <w:pPr>
        <w:spacing w:after="0" w:line="23" w:lineRule="atLeast"/>
        <w:rPr>
          <w:rFonts w:cs="Arial"/>
          <w:b/>
          <w:sz w:val="20"/>
          <w:szCs w:val="20"/>
        </w:rPr>
      </w:pPr>
    </w:p>
    <w:p w:rsidR="00F73F3A" w:rsidRPr="00F50E04" w:rsidRDefault="00F73F3A" w:rsidP="00F50E04">
      <w:pPr>
        <w:spacing w:after="0" w:line="23" w:lineRule="atLeast"/>
        <w:rPr>
          <w:rFonts w:cs="Arial"/>
          <w:b/>
          <w:sz w:val="20"/>
          <w:szCs w:val="20"/>
        </w:rPr>
      </w:pPr>
    </w:p>
    <w:p w:rsidR="002C1D99" w:rsidRPr="00F73F3A" w:rsidRDefault="002C1D99" w:rsidP="00F50E04">
      <w:pPr>
        <w:spacing w:after="0" w:line="23" w:lineRule="atLeast"/>
        <w:rPr>
          <w:rFonts w:cs="Arial"/>
          <w:b/>
          <w:szCs w:val="20"/>
        </w:rPr>
      </w:pPr>
      <w:r w:rsidRPr="00F73F3A">
        <w:rPr>
          <w:rFonts w:cs="Arial"/>
          <w:b/>
          <w:szCs w:val="20"/>
        </w:rPr>
        <w:t>1. Kwalifikowalność wydatków</w:t>
      </w:r>
    </w:p>
    <w:p w:rsidR="002C1D99" w:rsidRPr="00F50E04" w:rsidRDefault="002C1D99" w:rsidP="00F50E04">
      <w:pPr>
        <w:spacing w:after="0" w:line="23" w:lineRule="atLeast"/>
        <w:rPr>
          <w:rFonts w:cs="Arial"/>
          <w:b/>
          <w:sz w:val="20"/>
          <w:szCs w:val="20"/>
        </w:rPr>
      </w:pPr>
    </w:p>
    <w:p w:rsidR="002C1D99" w:rsidRDefault="002C1D99" w:rsidP="00E81B03">
      <w:pPr>
        <w:pStyle w:val="Akapitzlist"/>
        <w:numPr>
          <w:ilvl w:val="0"/>
          <w:numId w:val="2"/>
        </w:numPr>
        <w:spacing w:after="0" w:line="23" w:lineRule="atLeast"/>
        <w:jc w:val="both"/>
        <w:rPr>
          <w:sz w:val="20"/>
          <w:szCs w:val="20"/>
        </w:rPr>
      </w:pPr>
      <w:r w:rsidRPr="00CD22A6">
        <w:rPr>
          <w:sz w:val="20"/>
          <w:szCs w:val="20"/>
        </w:rPr>
        <w:t xml:space="preserve">Zasady opisane w niniejszym opracowaniu są zgodne z zapisami </w:t>
      </w:r>
      <w:r w:rsidRPr="00CD22A6">
        <w:rPr>
          <w:i/>
          <w:sz w:val="20"/>
          <w:szCs w:val="20"/>
        </w:rPr>
        <w:t>Wytycznych MIiR w zakresie wykorzystania środków pomocy technicznej na lata 2014-2020</w:t>
      </w:r>
      <w:r w:rsidRPr="00CD22A6">
        <w:rPr>
          <w:sz w:val="20"/>
          <w:szCs w:val="20"/>
        </w:rPr>
        <w:t xml:space="preserve"> oraz </w:t>
      </w:r>
      <w:r w:rsidRPr="00CD22A6">
        <w:rPr>
          <w:i/>
          <w:sz w:val="20"/>
          <w:szCs w:val="20"/>
        </w:rPr>
        <w:t>Wytycznych M</w:t>
      </w:r>
      <w:r w:rsidR="00CD47F6">
        <w:rPr>
          <w:i/>
          <w:sz w:val="20"/>
          <w:szCs w:val="20"/>
        </w:rPr>
        <w:t>R</w:t>
      </w:r>
      <w:r w:rsidRPr="00CD22A6">
        <w:rPr>
          <w:i/>
          <w:sz w:val="20"/>
          <w:szCs w:val="20"/>
        </w:rPr>
        <w:t xml:space="preserve"> w zakresie kwalifikowalności wydatków w </w:t>
      </w:r>
      <w:r w:rsidR="00CD47F6">
        <w:rPr>
          <w:i/>
          <w:sz w:val="20"/>
          <w:szCs w:val="20"/>
        </w:rPr>
        <w:t>ramach</w:t>
      </w:r>
      <w:r w:rsidRPr="00CD22A6">
        <w:rPr>
          <w:i/>
          <w:sz w:val="20"/>
          <w:szCs w:val="20"/>
        </w:rPr>
        <w:t xml:space="preserve"> Europejskiego Funduszu Rozwoju Regionalnego, Europejskiego Funduszu Społecznego oraz Funduszu Spójności na lata 2014-2020</w:t>
      </w:r>
      <w:r w:rsidRPr="00CD22A6">
        <w:rPr>
          <w:sz w:val="20"/>
          <w:szCs w:val="20"/>
        </w:rPr>
        <w:t>.</w:t>
      </w:r>
    </w:p>
    <w:p w:rsidR="002C1D99" w:rsidRDefault="002C1D99" w:rsidP="00E81B03">
      <w:pPr>
        <w:pStyle w:val="Akapitzlist"/>
        <w:numPr>
          <w:ilvl w:val="0"/>
          <w:numId w:val="2"/>
        </w:numPr>
        <w:spacing w:after="0" w:line="23" w:lineRule="atLeast"/>
        <w:jc w:val="both"/>
        <w:rPr>
          <w:sz w:val="20"/>
          <w:szCs w:val="20"/>
        </w:rPr>
      </w:pPr>
      <w:r w:rsidRPr="00CD22A6">
        <w:rPr>
          <w:sz w:val="20"/>
          <w:szCs w:val="20"/>
        </w:rPr>
        <w:t>Wydatkowanie środków pomocy technicznej w IP ZIT KKBOF odbywa się zgodnie z zachowaniem zasad: legalności, rzetelności, gospodarności i celowości, a ponadto z zachowaniem wysokiej jakości realizowanych działań, użyteczności, efektywności</w:t>
      </w:r>
      <w:r>
        <w:rPr>
          <w:sz w:val="20"/>
          <w:szCs w:val="20"/>
        </w:rPr>
        <w:t xml:space="preserve"> </w:t>
      </w:r>
      <w:r w:rsidRPr="00CD22A6">
        <w:rPr>
          <w:sz w:val="20"/>
          <w:szCs w:val="20"/>
        </w:rPr>
        <w:t>oraz przejrzystości działania</w:t>
      </w:r>
      <w:r>
        <w:rPr>
          <w:sz w:val="20"/>
          <w:szCs w:val="20"/>
        </w:rPr>
        <w:t>.</w:t>
      </w:r>
    </w:p>
    <w:p w:rsidR="00CD47F6" w:rsidRPr="00CD47F6" w:rsidRDefault="00CD47F6" w:rsidP="00CD47F6">
      <w:pPr>
        <w:spacing w:after="0" w:line="23" w:lineRule="atLeast"/>
        <w:jc w:val="both"/>
        <w:rPr>
          <w:sz w:val="20"/>
          <w:szCs w:val="20"/>
        </w:rPr>
      </w:pPr>
    </w:p>
    <w:p w:rsidR="002C1D99" w:rsidRPr="00F73F3A" w:rsidRDefault="002C1D99" w:rsidP="00E81B03">
      <w:pPr>
        <w:spacing w:after="0" w:line="23" w:lineRule="atLeast"/>
        <w:jc w:val="both"/>
        <w:rPr>
          <w:b/>
          <w:szCs w:val="20"/>
        </w:rPr>
      </w:pPr>
      <w:r w:rsidRPr="00F73F3A">
        <w:rPr>
          <w:b/>
          <w:szCs w:val="20"/>
        </w:rPr>
        <w:t>2. Wynagrodzenia</w:t>
      </w:r>
    </w:p>
    <w:p w:rsidR="002C1D99" w:rsidRPr="00264D4B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 w:rsidRPr="00264D4B">
        <w:rPr>
          <w:b/>
          <w:sz w:val="20"/>
          <w:szCs w:val="20"/>
        </w:rPr>
        <w:t>2.1</w:t>
      </w:r>
      <w:r>
        <w:rPr>
          <w:b/>
          <w:sz w:val="20"/>
          <w:szCs w:val="20"/>
        </w:rPr>
        <w:t xml:space="preserve"> –</w:t>
      </w:r>
      <w:r w:rsidRPr="00264D4B">
        <w:rPr>
          <w:b/>
          <w:sz w:val="20"/>
          <w:szCs w:val="20"/>
        </w:rPr>
        <w:t xml:space="preserve"> Wynagrodzenie zasadnicze</w:t>
      </w:r>
    </w:p>
    <w:p w:rsidR="002C1D99" w:rsidRPr="00264D4B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561941" w:rsidRPr="00827BA1" w:rsidRDefault="00561941" w:rsidP="00561941">
      <w:pPr>
        <w:pStyle w:val="Akapitzlist"/>
        <w:numPr>
          <w:ilvl w:val="0"/>
          <w:numId w:val="4"/>
        </w:numPr>
        <w:spacing w:after="0" w:line="23" w:lineRule="atLeast"/>
        <w:jc w:val="both"/>
        <w:rPr>
          <w:sz w:val="20"/>
          <w:szCs w:val="20"/>
        </w:rPr>
      </w:pPr>
      <w:r w:rsidRPr="00827BA1">
        <w:rPr>
          <w:sz w:val="20"/>
          <w:szCs w:val="20"/>
        </w:rPr>
        <w:t>Opisy stanowisk pracy</w:t>
      </w:r>
      <w:r>
        <w:rPr>
          <w:sz w:val="20"/>
          <w:szCs w:val="20"/>
        </w:rPr>
        <w:t xml:space="preserve">, zawarte w zakresach czynności, </w:t>
      </w:r>
      <w:r w:rsidRPr="00827BA1">
        <w:rPr>
          <w:sz w:val="20"/>
          <w:szCs w:val="20"/>
        </w:rPr>
        <w:t>będące podstawą do określenia poziomu kwalifikowalności wynagrodzenia określają: wymiar czasu pracy, zakres zadań, procentowy udział zadań kwalifikowalnych na stanowisku pracy – zwany dalej poziomem kwalifikowalności stanowiska pracy oraz datę, od której wykonywane są zadania wskazane w tym dokumencie. Opisy stanowisk pracy są oznakowane zgodnie</w:t>
      </w:r>
      <w:r>
        <w:rPr>
          <w:sz w:val="20"/>
          <w:szCs w:val="20"/>
        </w:rPr>
        <w:t xml:space="preserve"> </w:t>
      </w:r>
      <w:r w:rsidRPr="00827BA1">
        <w:rPr>
          <w:sz w:val="20"/>
          <w:szCs w:val="20"/>
        </w:rPr>
        <w:t>z zasadami informacji i promocji.</w:t>
      </w:r>
    </w:p>
    <w:p w:rsidR="00561941" w:rsidRDefault="00561941" w:rsidP="00561941">
      <w:pPr>
        <w:pStyle w:val="Akapitzlist"/>
        <w:numPr>
          <w:ilvl w:val="0"/>
          <w:numId w:val="4"/>
        </w:numPr>
        <w:spacing w:after="0" w:line="23" w:lineRule="atLeas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Referat Zintegrowanych Inwestycji Terytorialnych powołany w strukturach Urzędu Miejskiego w Koszalinie </w:t>
      </w:r>
      <w:r w:rsidR="00E639BC">
        <w:rPr>
          <w:sz w:val="20"/>
          <w:szCs w:val="20"/>
        </w:rPr>
        <w:t xml:space="preserve">jest komórką </w:t>
      </w:r>
      <w:r w:rsidR="00756F6C">
        <w:rPr>
          <w:sz w:val="20"/>
          <w:szCs w:val="20"/>
        </w:rPr>
        <w:t>wykonującą zadania z zakresu Zintegrowanych Inwestycji Terytorialnych</w:t>
      </w:r>
      <w:r>
        <w:rPr>
          <w:sz w:val="20"/>
          <w:szCs w:val="20"/>
        </w:rPr>
        <w:t>, pracownicy</w:t>
      </w:r>
      <w:r w:rsidR="00756F6C">
        <w:rPr>
          <w:sz w:val="20"/>
          <w:szCs w:val="20"/>
        </w:rPr>
        <w:t xml:space="preserve"> Referatu ZIT wykonują zadania</w:t>
      </w:r>
      <w:r>
        <w:rPr>
          <w:sz w:val="20"/>
          <w:szCs w:val="20"/>
        </w:rPr>
        <w:t xml:space="preserve"> przypisane IP ZIT KKBOF – poziom kwalifikowalności wynagrodzeń pracowników ZIT stanowi 100%.</w:t>
      </w:r>
    </w:p>
    <w:p w:rsidR="002C1D99" w:rsidRDefault="002C1D99" w:rsidP="00E81B03">
      <w:pPr>
        <w:pStyle w:val="Akapitzlist"/>
        <w:numPr>
          <w:ilvl w:val="0"/>
          <w:numId w:val="4"/>
        </w:numPr>
        <w:spacing w:after="0" w:line="23" w:lineRule="atLeast"/>
        <w:jc w:val="both"/>
        <w:rPr>
          <w:sz w:val="20"/>
          <w:szCs w:val="20"/>
        </w:rPr>
      </w:pPr>
      <w:r w:rsidRPr="00264D4B">
        <w:rPr>
          <w:sz w:val="20"/>
          <w:szCs w:val="20"/>
        </w:rPr>
        <w:t xml:space="preserve">Dofinansowanie do wynagrodzeń </w:t>
      </w:r>
      <w:r>
        <w:rPr>
          <w:sz w:val="20"/>
          <w:szCs w:val="20"/>
        </w:rPr>
        <w:t xml:space="preserve">pracowników IP ZIT KKBOF </w:t>
      </w:r>
      <w:r w:rsidRPr="00264D4B">
        <w:rPr>
          <w:sz w:val="20"/>
          <w:szCs w:val="20"/>
        </w:rPr>
        <w:t xml:space="preserve">ze środków pomocy technicznej odbywa się na warunkach określonych w </w:t>
      </w:r>
      <w:r w:rsidRPr="00561941">
        <w:rPr>
          <w:i/>
          <w:sz w:val="20"/>
          <w:szCs w:val="20"/>
        </w:rPr>
        <w:t>R</w:t>
      </w:r>
      <w:r w:rsidR="00561941">
        <w:rPr>
          <w:i/>
          <w:sz w:val="20"/>
          <w:szCs w:val="20"/>
        </w:rPr>
        <w:t xml:space="preserve">ocznym </w:t>
      </w:r>
      <w:r w:rsidRPr="00561941">
        <w:rPr>
          <w:i/>
          <w:sz w:val="20"/>
          <w:szCs w:val="20"/>
        </w:rPr>
        <w:t>P</w:t>
      </w:r>
      <w:r w:rsidR="00561941">
        <w:rPr>
          <w:i/>
          <w:sz w:val="20"/>
          <w:szCs w:val="20"/>
        </w:rPr>
        <w:t xml:space="preserve">lanie </w:t>
      </w:r>
      <w:r w:rsidRPr="00561941">
        <w:rPr>
          <w:i/>
          <w:sz w:val="20"/>
          <w:szCs w:val="20"/>
        </w:rPr>
        <w:t>D</w:t>
      </w:r>
      <w:r w:rsidR="00561941">
        <w:rPr>
          <w:i/>
          <w:sz w:val="20"/>
          <w:szCs w:val="20"/>
        </w:rPr>
        <w:t>ziałań</w:t>
      </w:r>
      <w:r w:rsidRPr="00561941">
        <w:rPr>
          <w:i/>
          <w:sz w:val="20"/>
          <w:szCs w:val="20"/>
        </w:rPr>
        <w:t xml:space="preserve"> P</w:t>
      </w:r>
      <w:r w:rsidR="00561941">
        <w:rPr>
          <w:i/>
          <w:sz w:val="20"/>
          <w:szCs w:val="20"/>
        </w:rPr>
        <w:t xml:space="preserve">omocy </w:t>
      </w:r>
      <w:r w:rsidRPr="00561941">
        <w:rPr>
          <w:i/>
          <w:sz w:val="20"/>
          <w:szCs w:val="20"/>
        </w:rPr>
        <w:t>T</w:t>
      </w:r>
      <w:r w:rsidR="00561941">
        <w:rPr>
          <w:i/>
          <w:sz w:val="20"/>
          <w:szCs w:val="20"/>
        </w:rPr>
        <w:t>echnicznej</w:t>
      </w:r>
      <w:r w:rsidRPr="00561941">
        <w:rPr>
          <w:i/>
          <w:sz w:val="20"/>
          <w:szCs w:val="20"/>
        </w:rPr>
        <w:t xml:space="preserve"> RPO WZ</w:t>
      </w:r>
      <w:r w:rsidRPr="00264D4B">
        <w:rPr>
          <w:sz w:val="20"/>
          <w:szCs w:val="20"/>
        </w:rPr>
        <w:t>.</w:t>
      </w:r>
    </w:p>
    <w:p w:rsidR="002C1D99" w:rsidRDefault="002C1D99" w:rsidP="00E81B03">
      <w:pPr>
        <w:pStyle w:val="Akapitzlist"/>
        <w:numPr>
          <w:ilvl w:val="0"/>
          <w:numId w:val="4"/>
        </w:numPr>
        <w:spacing w:after="0" w:line="23" w:lineRule="atLeast"/>
        <w:jc w:val="both"/>
        <w:rPr>
          <w:sz w:val="20"/>
          <w:szCs w:val="20"/>
        </w:rPr>
      </w:pPr>
      <w:r w:rsidRPr="00174B7C">
        <w:rPr>
          <w:sz w:val="20"/>
          <w:szCs w:val="20"/>
        </w:rPr>
        <w:t xml:space="preserve">Dofinansowanie do wynagrodzeń </w:t>
      </w:r>
      <w:r>
        <w:rPr>
          <w:sz w:val="20"/>
          <w:szCs w:val="20"/>
        </w:rPr>
        <w:t xml:space="preserve">pracowników IP ZITKKBOF </w:t>
      </w:r>
      <w:r w:rsidRPr="00174B7C">
        <w:rPr>
          <w:sz w:val="20"/>
          <w:szCs w:val="20"/>
        </w:rPr>
        <w:t xml:space="preserve">ze środków pomocy technicznej </w:t>
      </w:r>
      <w:r>
        <w:rPr>
          <w:sz w:val="20"/>
          <w:szCs w:val="20"/>
        </w:rPr>
        <w:t>udzielane jest w związku z wykonywaniem zadań</w:t>
      </w:r>
      <w:r w:rsidRPr="00174B7C">
        <w:rPr>
          <w:sz w:val="20"/>
          <w:szCs w:val="20"/>
        </w:rPr>
        <w:t xml:space="preserve"> w ramach działań, </w:t>
      </w:r>
      <w:r>
        <w:rPr>
          <w:sz w:val="20"/>
          <w:szCs w:val="20"/>
        </w:rPr>
        <w:t>które zostały określone</w:t>
      </w:r>
      <w:r w:rsidRPr="00174B7C">
        <w:rPr>
          <w:sz w:val="20"/>
          <w:szCs w:val="20"/>
        </w:rPr>
        <w:t xml:space="preserve"> w rozdziale 2</w:t>
      </w:r>
      <w:r>
        <w:rPr>
          <w:sz w:val="20"/>
          <w:szCs w:val="20"/>
        </w:rPr>
        <w:t xml:space="preserve"> </w:t>
      </w:r>
      <w:r w:rsidRPr="00CD22A6">
        <w:rPr>
          <w:i/>
          <w:sz w:val="20"/>
          <w:szCs w:val="20"/>
        </w:rPr>
        <w:t>Wytycznych MIiR w zakresie wykorzystania środków pomocy technicznej na lata 2014-2020</w:t>
      </w:r>
      <w:r>
        <w:rPr>
          <w:i/>
          <w:sz w:val="20"/>
          <w:szCs w:val="20"/>
        </w:rPr>
        <w:t>.</w:t>
      </w:r>
    </w:p>
    <w:p w:rsidR="002C1D99" w:rsidRDefault="002C1D99" w:rsidP="00302277">
      <w:pPr>
        <w:tabs>
          <w:tab w:val="right" w:pos="9000"/>
        </w:tabs>
        <w:spacing w:after="0" w:line="23" w:lineRule="atLeast"/>
        <w:jc w:val="both"/>
        <w:rPr>
          <w:sz w:val="20"/>
          <w:szCs w:val="20"/>
        </w:rPr>
      </w:pPr>
    </w:p>
    <w:p w:rsidR="002C1D99" w:rsidRPr="00197097" w:rsidRDefault="002C1D99" w:rsidP="00302277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2.2 –</w:t>
      </w:r>
      <w:r w:rsidRPr="00197097">
        <w:rPr>
          <w:b/>
          <w:sz w:val="20"/>
          <w:szCs w:val="20"/>
        </w:rPr>
        <w:t xml:space="preserve"> </w:t>
      </w:r>
      <w:r w:rsidRPr="00302277">
        <w:rPr>
          <w:b/>
          <w:sz w:val="20"/>
          <w:szCs w:val="20"/>
        </w:rPr>
        <w:t>Dodatkowe wynagrodzenie roczne</w:t>
      </w:r>
    </w:p>
    <w:p w:rsidR="002C1D99" w:rsidRPr="00302277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pStyle w:val="Akapitzlist"/>
        <w:numPr>
          <w:ilvl w:val="0"/>
          <w:numId w:val="5"/>
        </w:numPr>
        <w:spacing w:after="0" w:line="23" w:lineRule="atLeast"/>
        <w:jc w:val="both"/>
        <w:rPr>
          <w:sz w:val="20"/>
          <w:szCs w:val="20"/>
        </w:rPr>
      </w:pPr>
      <w:r w:rsidRPr="00302277">
        <w:rPr>
          <w:sz w:val="20"/>
          <w:szCs w:val="20"/>
        </w:rPr>
        <w:t>Poziom kwalifikowalności dodatkowego wynagrodzenia rocznego</w:t>
      </w:r>
      <w:r>
        <w:rPr>
          <w:sz w:val="20"/>
          <w:szCs w:val="20"/>
        </w:rPr>
        <w:t xml:space="preserve"> </w:t>
      </w:r>
      <w:r w:rsidR="00561941">
        <w:rPr>
          <w:sz w:val="20"/>
          <w:szCs w:val="20"/>
        </w:rPr>
        <w:t xml:space="preserve">(DWR) </w:t>
      </w:r>
      <w:r>
        <w:rPr>
          <w:sz w:val="20"/>
          <w:szCs w:val="20"/>
        </w:rPr>
        <w:t xml:space="preserve">pracowników Referatu ZIT, wynosi 100%. </w:t>
      </w:r>
    </w:p>
    <w:p w:rsidR="002C1D99" w:rsidRDefault="002C1D99" w:rsidP="00E81B03">
      <w:pPr>
        <w:pStyle w:val="Akapitzlist"/>
        <w:numPr>
          <w:ilvl w:val="0"/>
          <w:numId w:val="5"/>
        </w:numPr>
        <w:spacing w:after="0" w:line="23" w:lineRule="atLeast"/>
        <w:jc w:val="both"/>
        <w:rPr>
          <w:sz w:val="20"/>
          <w:szCs w:val="20"/>
        </w:rPr>
      </w:pPr>
      <w:r>
        <w:rPr>
          <w:sz w:val="20"/>
          <w:szCs w:val="20"/>
        </w:rPr>
        <w:t>W danym roku kalendarzowym kwalifikowalność</w:t>
      </w:r>
      <w:r w:rsidRPr="00302277">
        <w:rPr>
          <w:sz w:val="20"/>
          <w:szCs w:val="20"/>
        </w:rPr>
        <w:t xml:space="preserve"> </w:t>
      </w:r>
      <w:r>
        <w:rPr>
          <w:sz w:val="20"/>
          <w:szCs w:val="20"/>
        </w:rPr>
        <w:t>rozpoczyna się z dniem oddelegowania pracownika do Referatu ZIT lub</w:t>
      </w:r>
      <w:r w:rsidR="00756F6C">
        <w:rPr>
          <w:sz w:val="20"/>
          <w:szCs w:val="20"/>
        </w:rPr>
        <w:t xml:space="preserve"> z</w:t>
      </w:r>
      <w:r>
        <w:rPr>
          <w:sz w:val="20"/>
          <w:szCs w:val="20"/>
        </w:rPr>
        <w:t xml:space="preserve"> dniem zatrudnienia pracownika w Referacie ZIT. Kwalifikowalność DWR jest liczona proporcjonalnie.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2.3 – </w:t>
      </w:r>
      <w:r w:rsidRPr="000357C3">
        <w:rPr>
          <w:b/>
          <w:sz w:val="20"/>
          <w:szCs w:val="20"/>
        </w:rPr>
        <w:t>Wypłaty z funduszu nagród, nagrody i premie</w:t>
      </w:r>
    </w:p>
    <w:p w:rsidR="002C1D99" w:rsidRPr="000357C3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</w:p>
    <w:p w:rsidR="002C1D99" w:rsidRDefault="002C1D99" w:rsidP="00E81B03">
      <w:pPr>
        <w:pStyle w:val="Akapitzlist"/>
        <w:numPr>
          <w:ilvl w:val="0"/>
          <w:numId w:val="6"/>
        </w:numPr>
        <w:spacing w:after="0" w:line="23" w:lineRule="atLeast"/>
        <w:jc w:val="both"/>
        <w:rPr>
          <w:sz w:val="20"/>
          <w:szCs w:val="20"/>
        </w:rPr>
      </w:pPr>
      <w:r w:rsidRPr="006677AE">
        <w:rPr>
          <w:sz w:val="20"/>
          <w:szCs w:val="20"/>
        </w:rPr>
        <w:t>Wypłaty z funduszu nagród, nagrody i premie, które są przyznawane pracownikom IP ZIT KKBOF i które wynikają z powszechnie obowiązujących przepisów prawa lub Regulaminu wynagradzania Urzędu Miejskiego w Koszalinie i są udzielane na takich samych zasadach, jak innym pracownikom instytucji są wydatkiem kwalifikowalnym, gdyż ze środków pomocy technicznej finansowane jest wynagrodzenie zasadnicze</w:t>
      </w:r>
      <w:r>
        <w:rPr>
          <w:sz w:val="20"/>
          <w:szCs w:val="20"/>
        </w:rPr>
        <w:t xml:space="preserve"> </w:t>
      </w:r>
      <w:r w:rsidRPr="006677AE">
        <w:rPr>
          <w:sz w:val="20"/>
          <w:szCs w:val="20"/>
        </w:rPr>
        <w:t>pracowników</w:t>
      </w:r>
      <w:r>
        <w:rPr>
          <w:sz w:val="20"/>
          <w:szCs w:val="20"/>
        </w:rPr>
        <w:t xml:space="preserve"> IP ZIT KKBOF.</w:t>
      </w:r>
    </w:p>
    <w:p w:rsidR="002C1D99" w:rsidRDefault="002C1D99" w:rsidP="00E81B03">
      <w:pPr>
        <w:pStyle w:val="Akapitzlist"/>
        <w:numPr>
          <w:ilvl w:val="0"/>
          <w:numId w:val="6"/>
        </w:numPr>
        <w:spacing w:after="0" w:line="23" w:lineRule="atLeast"/>
        <w:jc w:val="both"/>
        <w:rPr>
          <w:sz w:val="20"/>
          <w:szCs w:val="20"/>
        </w:rPr>
      </w:pPr>
      <w:r w:rsidRPr="006677AE">
        <w:rPr>
          <w:sz w:val="20"/>
          <w:szCs w:val="20"/>
        </w:rPr>
        <w:t>Wypłaty z funduszu nagród, nagrody i premie</w:t>
      </w:r>
      <w:r>
        <w:rPr>
          <w:sz w:val="20"/>
          <w:szCs w:val="20"/>
        </w:rPr>
        <w:t>, o których mowa w pkt. 1) są rozliczane</w:t>
      </w:r>
      <w:r w:rsidRPr="00601702">
        <w:rPr>
          <w:sz w:val="20"/>
          <w:szCs w:val="20"/>
        </w:rPr>
        <w:t xml:space="preserve"> zgodnie z poziomem kwalifikowalności wynagrodzenia pracownika, którego dotyczy</w:t>
      </w:r>
      <w:r>
        <w:rPr>
          <w:sz w:val="20"/>
          <w:szCs w:val="20"/>
        </w:rPr>
        <w:t>.</w:t>
      </w:r>
    </w:p>
    <w:p w:rsidR="002C1D99" w:rsidRDefault="002C1D99" w:rsidP="00E81B03">
      <w:pPr>
        <w:pStyle w:val="Akapitzlist"/>
        <w:numPr>
          <w:ilvl w:val="0"/>
          <w:numId w:val="6"/>
        </w:numPr>
        <w:spacing w:after="0" w:line="23" w:lineRule="atLeast"/>
        <w:jc w:val="both"/>
        <w:rPr>
          <w:sz w:val="20"/>
          <w:szCs w:val="20"/>
        </w:rPr>
      </w:pPr>
      <w:r w:rsidRPr="00E3455D">
        <w:rPr>
          <w:sz w:val="20"/>
          <w:szCs w:val="20"/>
        </w:rPr>
        <w:t>Wypłaty z funduszu nagród, nagrody i premie przyznawane za pracę</w:t>
      </w:r>
      <w:r>
        <w:rPr>
          <w:sz w:val="20"/>
          <w:szCs w:val="20"/>
        </w:rPr>
        <w:t xml:space="preserve"> pracowników niepracujących </w:t>
      </w:r>
      <w:r w:rsidR="00F73F3A">
        <w:rPr>
          <w:sz w:val="20"/>
          <w:szCs w:val="20"/>
        </w:rPr>
        <w:br/>
      </w:r>
      <w:r>
        <w:rPr>
          <w:sz w:val="20"/>
          <w:szCs w:val="20"/>
        </w:rPr>
        <w:t>w Referacie ZIT a wykonujących zadania związane</w:t>
      </w:r>
      <w:r w:rsidRPr="00E3455D">
        <w:rPr>
          <w:sz w:val="20"/>
          <w:szCs w:val="20"/>
        </w:rPr>
        <w:t xml:space="preserve"> z wdrażaniem </w:t>
      </w:r>
      <w:r>
        <w:rPr>
          <w:sz w:val="20"/>
          <w:szCs w:val="20"/>
        </w:rPr>
        <w:t>ZIT KKBOF</w:t>
      </w:r>
      <w:r w:rsidRPr="00E3455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są </w:t>
      </w:r>
      <w:r w:rsidRPr="00E3455D">
        <w:rPr>
          <w:sz w:val="20"/>
          <w:szCs w:val="20"/>
        </w:rPr>
        <w:t>kwalifikowalne</w:t>
      </w:r>
      <w:r>
        <w:rPr>
          <w:sz w:val="20"/>
          <w:szCs w:val="20"/>
        </w:rPr>
        <w:t xml:space="preserve"> </w:t>
      </w:r>
      <w:r w:rsidRPr="00E3455D">
        <w:rPr>
          <w:sz w:val="20"/>
          <w:szCs w:val="20"/>
        </w:rPr>
        <w:t xml:space="preserve">ze środków </w:t>
      </w:r>
      <w:r w:rsidRPr="00E3455D">
        <w:rPr>
          <w:sz w:val="20"/>
          <w:szCs w:val="20"/>
        </w:rPr>
        <w:lastRenderedPageBreak/>
        <w:t>pomocy technicznej</w:t>
      </w:r>
      <w:r>
        <w:rPr>
          <w:sz w:val="20"/>
          <w:szCs w:val="20"/>
        </w:rPr>
        <w:t xml:space="preserve"> za zgodą </w:t>
      </w:r>
      <w:r w:rsidRPr="00561941">
        <w:rPr>
          <w:sz w:val="20"/>
          <w:szCs w:val="20"/>
        </w:rPr>
        <w:t>IZ RPO WZ</w:t>
      </w:r>
      <w:r>
        <w:rPr>
          <w:sz w:val="20"/>
          <w:szCs w:val="20"/>
        </w:rPr>
        <w:t xml:space="preserve"> zgodnie z pkt 4) Podrozdziału 7.1.3 </w:t>
      </w:r>
      <w:r w:rsidRPr="00CD22A6">
        <w:rPr>
          <w:i/>
          <w:sz w:val="20"/>
          <w:szCs w:val="20"/>
        </w:rPr>
        <w:t>Wytycznych MIiR w zakresie wykorzystania środków pomocy technicznej na lata 2014-2020</w:t>
      </w:r>
      <w:r>
        <w:rPr>
          <w:sz w:val="20"/>
          <w:szCs w:val="20"/>
        </w:rPr>
        <w:t>.</w:t>
      </w:r>
    </w:p>
    <w:p w:rsidR="002C1D99" w:rsidRPr="007F6366" w:rsidRDefault="002C1D99" w:rsidP="00E81B03">
      <w:pPr>
        <w:pStyle w:val="Akapitzlist"/>
        <w:numPr>
          <w:ilvl w:val="0"/>
          <w:numId w:val="6"/>
        </w:numPr>
        <w:spacing w:after="0" w:line="23" w:lineRule="atLeast"/>
        <w:jc w:val="both"/>
        <w:rPr>
          <w:sz w:val="20"/>
          <w:szCs w:val="20"/>
        </w:rPr>
      </w:pPr>
      <w:r w:rsidRPr="007F6366">
        <w:rPr>
          <w:sz w:val="20"/>
          <w:szCs w:val="20"/>
        </w:rPr>
        <w:t>Wypłaty z funduszu nagród, nagrody i premie przyznawane za pracę niezwiązaną z wdrażaniem funduszy polityki spójności nie są kwalifikowalne ze środków pomocy technicznej. Do kosztów kwalifikowalnych nie należą także nagrody jubileuszowe, specjalne za staż</w:t>
      </w:r>
      <w:r>
        <w:rPr>
          <w:sz w:val="20"/>
          <w:szCs w:val="20"/>
        </w:rPr>
        <w:t xml:space="preserve"> </w:t>
      </w:r>
      <w:r w:rsidRPr="007F6366">
        <w:rPr>
          <w:sz w:val="20"/>
          <w:szCs w:val="20"/>
        </w:rPr>
        <w:t>pracy w jednostce organizacyjnej</w:t>
      </w:r>
      <w:r>
        <w:rPr>
          <w:sz w:val="20"/>
          <w:szCs w:val="20"/>
        </w:rPr>
        <w:t xml:space="preserve"> ani odprawy pracownicze.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  <w:r w:rsidRPr="00023A97">
        <w:rPr>
          <w:sz w:val="20"/>
          <w:szCs w:val="20"/>
        </w:rPr>
        <w:t xml:space="preserve"> </w:t>
      </w:r>
    </w:p>
    <w:p w:rsidR="002C1D99" w:rsidRPr="00023A97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2.4 – </w:t>
      </w:r>
      <w:r w:rsidRPr="00023A97">
        <w:rPr>
          <w:b/>
          <w:sz w:val="20"/>
          <w:szCs w:val="20"/>
        </w:rPr>
        <w:t>Wynagrodzenie za czas urlopu</w:t>
      </w:r>
    </w:p>
    <w:p w:rsidR="002C1D99" w:rsidRPr="00023A97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601702" w:rsidRDefault="002C1D99" w:rsidP="00E81B03">
      <w:pPr>
        <w:pStyle w:val="Akapitzlist"/>
        <w:numPr>
          <w:ilvl w:val="0"/>
          <w:numId w:val="7"/>
        </w:numPr>
        <w:spacing w:after="0" w:line="23" w:lineRule="atLeast"/>
        <w:jc w:val="both"/>
        <w:rPr>
          <w:sz w:val="20"/>
          <w:szCs w:val="20"/>
        </w:rPr>
      </w:pPr>
      <w:r w:rsidRPr="00601702">
        <w:rPr>
          <w:sz w:val="20"/>
          <w:szCs w:val="20"/>
        </w:rPr>
        <w:t xml:space="preserve">Wynagrodzenie oraz ekwiwalent za urlop wypoczynkowy lub dodatkowy urlop wypoczynkowy, przysługujący pracownikowi na podstawie odrębnych przepisów, </w:t>
      </w:r>
      <w:r>
        <w:rPr>
          <w:sz w:val="20"/>
          <w:szCs w:val="20"/>
        </w:rPr>
        <w:t>są</w:t>
      </w:r>
      <w:r w:rsidRPr="00601702">
        <w:rPr>
          <w:sz w:val="20"/>
          <w:szCs w:val="20"/>
        </w:rPr>
        <w:t xml:space="preserve"> rozliczane zgodnie z poziomem kwalifikowalności wynagrodzenia pracownika, którego dotyczy</w:t>
      </w:r>
      <w:r>
        <w:rPr>
          <w:sz w:val="20"/>
          <w:szCs w:val="20"/>
        </w:rPr>
        <w:t>.</w:t>
      </w:r>
    </w:p>
    <w:p w:rsidR="002C1D99" w:rsidRDefault="002C1D99" w:rsidP="00E81B03">
      <w:pPr>
        <w:pStyle w:val="Akapitzlist"/>
        <w:numPr>
          <w:ilvl w:val="0"/>
          <w:numId w:val="7"/>
        </w:numPr>
        <w:spacing w:after="0" w:line="23" w:lineRule="atLeast"/>
        <w:jc w:val="both"/>
        <w:rPr>
          <w:sz w:val="20"/>
          <w:szCs w:val="20"/>
        </w:rPr>
      </w:pPr>
      <w:r w:rsidRPr="00601702">
        <w:rPr>
          <w:sz w:val="20"/>
          <w:szCs w:val="20"/>
        </w:rPr>
        <w:t>Urlop szkoleniowy jest rozliczany zgodnie z poziomem kwalifikowalności wynagrodzenia pracownika, którego dotyczy oraz zgodnie z zasadami</w:t>
      </w:r>
      <w:r>
        <w:rPr>
          <w:sz w:val="20"/>
          <w:szCs w:val="20"/>
        </w:rPr>
        <w:t xml:space="preserve"> </w:t>
      </w:r>
      <w:r w:rsidRPr="00601702">
        <w:rPr>
          <w:sz w:val="20"/>
          <w:szCs w:val="20"/>
        </w:rPr>
        <w:t xml:space="preserve">obowiązującymi w </w:t>
      </w:r>
      <w:r>
        <w:rPr>
          <w:sz w:val="20"/>
          <w:szCs w:val="20"/>
        </w:rPr>
        <w:t>Urzędzie Miejskim w Koszalinie.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023A97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2.5 – </w:t>
      </w:r>
      <w:r w:rsidRPr="00560A0B">
        <w:rPr>
          <w:b/>
          <w:sz w:val="20"/>
          <w:szCs w:val="20"/>
        </w:rPr>
        <w:t>Inne składniki wynagrodzenia za pracę</w:t>
      </w:r>
    </w:p>
    <w:p w:rsidR="002C1D99" w:rsidRPr="00601702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560A0B" w:rsidRDefault="002C1D99" w:rsidP="00E81B03">
      <w:pPr>
        <w:pStyle w:val="Akapitzlist"/>
        <w:numPr>
          <w:ilvl w:val="0"/>
          <w:numId w:val="8"/>
        </w:numPr>
        <w:spacing w:after="0" w:line="23" w:lineRule="atLeast"/>
        <w:jc w:val="both"/>
        <w:rPr>
          <w:sz w:val="20"/>
          <w:szCs w:val="20"/>
        </w:rPr>
      </w:pPr>
      <w:r w:rsidRPr="00560A0B">
        <w:rPr>
          <w:sz w:val="20"/>
          <w:szCs w:val="20"/>
        </w:rPr>
        <w:t>Dodatki zadaniowe, specjalne oraz inne wypłacane z tytułu czasowego nałożenia przez pracodawcę dodatkowych zadań są kwalifikowalne, o ile łącznie spełniają</w:t>
      </w:r>
      <w:r>
        <w:rPr>
          <w:sz w:val="20"/>
          <w:szCs w:val="20"/>
        </w:rPr>
        <w:t xml:space="preserve"> </w:t>
      </w:r>
      <w:r w:rsidRPr="00560A0B">
        <w:rPr>
          <w:sz w:val="20"/>
          <w:szCs w:val="20"/>
        </w:rPr>
        <w:t>następujące warunki:</w:t>
      </w:r>
    </w:p>
    <w:p w:rsidR="002C1D99" w:rsidRPr="00560A0B" w:rsidRDefault="002C1D99" w:rsidP="00E81B03">
      <w:pPr>
        <w:pStyle w:val="Akapitzlist"/>
        <w:numPr>
          <w:ilvl w:val="1"/>
          <w:numId w:val="9"/>
        </w:numPr>
        <w:spacing w:after="0" w:line="23" w:lineRule="atLeast"/>
        <w:ind w:left="851"/>
        <w:jc w:val="both"/>
        <w:rPr>
          <w:sz w:val="20"/>
          <w:szCs w:val="20"/>
        </w:rPr>
      </w:pPr>
      <w:r w:rsidRPr="00560A0B">
        <w:rPr>
          <w:sz w:val="20"/>
          <w:szCs w:val="20"/>
        </w:rPr>
        <w:t>ze środków pomocy technicznej finansowane jest wynagrodzenie zasadnicze</w:t>
      </w:r>
      <w:r>
        <w:rPr>
          <w:sz w:val="20"/>
          <w:szCs w:val="20"/>
        </w:rPr>
        <w:t xml:space="preserve"> </w:t>
      </w:r>
      <w:r w:rsidRPr="00560A0B">
        <w:rPr>
          <w:sz w:val="20"/>
          <w:szCs w:val="20"/>
        </w:rPr>
        <w:t>danych pr</w:t>
      </w:r>
      <w:r>
        <w:rPr>
          <w:sz w:val="20"/>
          <w:szCs w:val="20"/>
        </w:rPr>
        <w:t xml:space="preserve">acowników, </w:t>
      </w:r>
      <w:r w:rsidR="00F73F3A">
        <w:rPr>
          <w:sz w:val="20"/>
          <w:szCs w:val="20"/>
        </w:rPr>
        <w:br/>
      </w:r>
      <w:r>
        <w:rPr>
          <w:sz w:val="20"/>
          <w:szCs w:val="20"/>
        </w:rPr>
        <w:t>z zastrzeżeniem pkt 2) niniejszej sekcji</w:t>
      </w:r>
      <w:r w:rsidRPr="00560A0B">
        <w:rPr>
          <w:sz w:val="20"/>
          <w:szCs w:val="20"/>
        </w:rPr>
        <w:t>,</w:t>
      </w:r>
    </w:p>
    <w:p w:rsidR="002C1D99" w:rsidRDefault="002C1D99" w:rsidP="00E81B03">
      <w:pPr>
        <w:pStyle w:val="Akapitzlist"/>
        <w:numPr>
          <w:ilvl w:val="1"/>
          <w:numId w:val="9"/>
        </w:numPr>
        <w:spacing w:after="0" w:line="23" w:lineRule="atLeast"/>
        <w:ind w:left="851"/>
        <w:jc w:val="both"/>
        <w:rPr>
          <w:sz w:val="20"/>
          <w:szCs w:val="20"/>
        </w:rPr>
      </w:pPr>
      <w:r w:rsidRPr="00560A0B">
        <w:rPr>
          <w:sz w:val="20"/>
          <w:szCs w:val="20"/>
        </w:rPr>
        <w:t>dotyczą zadań w zakresie funduszy polityki spójności</w:t>
      </w:r>
      <w:r>
        <w:rPr>
          <w:sz w:val="20"/>
          <w:szCs w:val="20"/>
        </w:rPr>
        <w:t xml:space="preserve"> w ramach ZIT KKBOF</w:t>
      </w:r>
      <w:r w:rsidRPr="00560A0B">
        <w:rPr>
          <w:sz w:val="20"/>
          <w:szCs w:val="20"/>
        </w:rPr>
        <w:t>,</w:t>
      </w:r>
    </w:p>
    <w:p w:rsidR="002C1D99" w:rsidRPr="00560A0B" w:rsidRDefault="002C1D99" w:rsidP="00E81B03">
      <w:pPr>
        <w:pStyle w:val="Akapitzlist"/>
        <w:numPr>
          <w:ilvl w:val="1"/>
          <w:numId w:val="9"/>
        </w:numPr>
        <w:spacing w:after="0" w:line="23" w:lineRule="atLeast"/>
        <w:ind w:left="851"/>
        <w:jc w:val="both"/>
        <w:rPr>
          <w:sz w:val="20"/>
          <w:szCs w:val="20"/>
        </w:rPr>
      </w:pPr>
      <w:r w:rsidRPr="00560A0B">
        <w:rPr>
          <w:sz w:val="20"/>
          <w:szCs w:val="20"/>
        </w:rPr>
        <w:t xml:space="preserve">zostały wypłacone zgodnie z przepisami, na podstawie których zostały przyznane i są przyznawane na takich samych zasadach jak innym pracownikom </w:t>
      </w:r>
      <w:r w:rsidR="00504084" w:rsidRPr="00895ACD">
        <w:rPr>
          <w:sz w:val="20"/>
          <w:szCs w:val="20"/>
        </w:rPr>
        <w:t>Urzędu Miejskiego w Koszalinie</w:t>
      </w:r>
      <w:r w:rsidRPr="00560A0B">
        <w:rPr>
          <w:sz w:val="20"/>
          <w:szCs w:val="20"/>
        </w:rPr>
        <w:t>.</w:t>
      </w:r>
    </w:p>
    <w:p w:rsidR="002C1D99" w:rsidRDefault="002C1D99" w:rsidP="00E81B03">
      <w:pPr>
        <w:pStyle w:val="Akapitzlist"/>
        <w:numPr>
          <w:ilvl w:val="0"/>
          <w:numId w:val="8"/>
        </w:numPr>
        <w:spacing w:after="0" w:line="23" w:lineRule="atLeast"/>
        <w:jc w:val="both"/>
        <w:rPr>
          <w:sz w:val="20"/>
          <w:szCs w:val="20"/>
        </w:rPr>
      </w:pPr>
      <w:r w:rsidRPr="00895ACD">
        <w:rPr>
          <w:sz w:val="20"/>
          <w:szCs w:val="20"/>
        </w:rPr>
        <w:t>W uzasadnionych przypadkach</w:t>
      </w:r>
      <w:r>
        <w:rPr>
          <w:sz w:val="20"/>
          <w:szCs w:val="20"/>
        </w:rPr>
        <w:t xml:space="preserve"> za zgodą</w:t>
      </w:r>
      <w:r w:rsidRPr="00895ACD">
        <w:rPr>
          <w:sz w:val="20"/>
          <w:szCs w:val="20"/>
        </w:rPr>
        <w:t xml:space="preserve"> </w:t>
      </w:r>
      <w:r w:rsidRPr="00504084">
        <w:rPr>
          <w:sz w:val="20"/>
          <w:szCs w:val="20"/>
        </w:rPr>
        <w:t>IZ RPO WZ</w:t>
      </w:r>
      <w:r w:rsidRPr="00895ACD">
        <w:rPr>
          <w:sz w:val="20"/>
          <w:szCs w:val="20"/>
        </w:rPr>
        <w:t>, możliwe jest rozliczenie ze środków pomocy technicznej wydatków związanych z dodatkami przyznanymi pracownikom, których wynagrodzenie zasadnicze nie jest</w:t>
      </w:r>
      <w:r>
        <w:rPr>
          <w:sz w:val="20"/>
          <w:szCs w:val="20"/>
        </w:rPr>
        <w:t xml:space="preserve"> </w:t>
      </w:r>
      <w:r w:rsidRPr="00895ACD">
        <w:rPr>
          <w:sz w:val="20"/>
          <w:szCs w:val="20"/>
        </w:rPr>
        <w:t>rozliczane w danym okresie ze środków pomocy technicznej</w:t>
      </w:r>
      <w:r>
        <w:rPr>
          <w:sz w:val="20"/>
          <w:szCs w:val="20"/>
        </w:rPr>
        <w:t>, zgodnie</w:t>
      </w:r>
      <w:r w:rsidRPr="00895AC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z pkt 5) Podrozdziału 7.1.5 </w:t>
      </w:r>
      <w:r w:rsidRPr="00CD22A6">
        <w:rPr>
          <w:i/>
          <w:sz w:val="20"/>
          <w:szCs w:val="20"/>
        </w:rPr>
        <w:t>Wytycznych MIiR w zakresie wykorzystania środków pomocy technicznej na lata 2014-2020</w:t>
      </w:r>
      <w:r>
        <w:rPr>
          <w:sz w:val="20"/>
          <w:szCs w:val="20"/>
        </w:rPr>
        <w:t>.</w:t>
      </w:r>
    </w:p>
    <w:p w:rsidR="002C1D99" w:rsidRDefault="002C1D99" w:rsidP="00E81B03">
      <w:pPr>
        <w:pStyle w:val="Akapitzlist"/>
        <w:numPr>
          <w:ilvl w:val="0"/>
          <w:numId w:val="8"/>
        </w:numPr>
        <w:spacing w:after="0" w:line="23" w:lineRule="atLeast"/>
        <w:jc w:val="both"/>
        <w:rPr>
          <w:sz w:val="20"/>
          <w:szCs w:val="20"/>
        </w:rPr>
      </w:pPr>
      <w:r w:rsidRPr="00895ACD">
        <w:rPr>
          <w:sz w:val="20"/>
          <w:szCs w:val="20"/>
        </w:rPr>
        <w:t>Kwalifikowalne są również inne dodatki do wynagrodzeń wynikające z obowiązujących przepisów prawa oraz regulaminów wewnętrznych Urzędu Miejskiego w Koszalinie, np. dodatki motywacyjne, funkcyjne, służbowe, itp.</w:t>
      </w:r>
    </w:p>
    <w:p w:rsidR="002C1D99" w:rsidRDefault="002C1D99" w:rsidP="00E81B03">
      <w:pPr>
        <w:pStyle w:val="Akapitzlist"/>
        <w:numPr>
          <w:ilvl w:val="0"/>
          <w:numId w:val="8"/>
        </w:numPr>
        <w:spacing w:after="0" w:line="23" w:lineRule="atLeast"/>
        <w:jc w:val="both"/>
        <w:rPr>
          <w:sz w:val="20"/>
          <w:szCs w:val="20"/>
        </w:rPr>
      </w:pPr>
      <w:r w:rsidRPr="00B468F7">
        <w:rPr>
          <w:sz w:val="20"/>
          <w:szCs w:val="20"/>
        </w:rPr>
        <w:t xml:space="preserve">Dodatki są rozliczane zgodnie z poziomem kwalifikowalności wynagrodzenia pracownika, którego dotyczą. 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F73F3A" w:rsidRDefault="00F73F3A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023A97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3. </w:t>
      </w:r>
      <w:r w:rsidRPr="00B468F7">
        <w:rPr>
          <w:b/>
          <w:sz w:val="20"/>
          <w:szCs w:val="20"/>
        </w:rPr>
        <w:t>Podnoszenie kwalifikacji</w:t>
      </w:r>
    </w:p>
    <w:p w:rsidR="002C1D99" w:rsidRPr="00B468F7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1E4F54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1E4F54">
        <w:rPr>
          <w:sz w:val="20"/>
          <w:szCs w:val="20"/>
        </w:rPr>
        <w:t>W ramach podnoszenia kwalifikacji, z pomocy technicznej możliwe jest finansowanie zarówno indywidualnych szkoleń pracowników, jak i wydatków związanych z przygotowaniem i przeprowadzeniem szkoleń (m.in. wynajem pomieszczeń, zakwaterowanie, transport, wyżywienie uczestników szkoleń, zakup usług szkoleniowych i dydaktycznych niezbędnych do przeprowadzenia szkolenia). Pod pojęciem szkolenia należy rozumieć wszystkie dostępne formy kształcenia (krajowe i zagraniczne) tj.: szkolenia, e-learning, warsztaty, seminaria, staże, kursy, kursy kończące się certyfikatem (np. CIA, CGAP i inne), wizyty studyjne</w:t>
      </w:r>
      <w:r w:rsidR="00D2003E">
        <w:rPr>
          <w:sz w:val="20"/>
          <w:szCs w:val="20"/>
        </w:rPr>
        <w:t xml:space="preserve"> w tym zagraniczne</w:t>
      </w:r>
      <w:r w:rsidRPr="001E4F54">
        <w:rPr>
          <w:sz w:val="20"/>
          <w:szCs w:val="20"/>
        </w:rPr>
        <w:t>, studia I, II i III</w:t>
      </w:r>
      <w:r>
        <w:rPr>
          <w:sz w:val="20"/>
          <w:szCs w:val="20"/>
        </w:rPr>
        <w:t xml:space="preserve"> </w:t>
      </w:r>
      <w:r w:rsidRPr="001E4F54">
        <w:rPr>
          <w:sz w:val="20"/>
          <w:szCs w:val="20"/>
        </w:rPr>
        <w:t>stopnia, studia podyplomowe, aplikacje radcowskie, itp.).</w:t>
      </w:r>
    </w:p>
    <w:p w:rsidR="002C1D99" w:rsidRPr="001E4F54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1E4F54">
        <w:rPr>
          <w:sz w:val="20"/>
          <w:szCs w:val="20"/>
        </w:rPr>
        <w:t xml:space="preserve">Podnoszenie kwalifikacji pracowników odbywa się zgodnie z założeniami opisanymi w dokumentach, </w:t>
      </w:r>
      <w:r w:rsidR="00F73F3A">
        <w:rPr>
          <w:sz w:val="20"/>
          <w:szCs w:val="20"/>
        </w:rPr>
        <w:br/>
      </w:r>
      <w:r w:rsidRPr="001E4F54">
        <w:rPr>
          <w:sz w:val="20"/>
          <w:szCs w:val="20"/>
        </w:rPr>
        <w:t xml:space="preserve">o których mowa w pkt </w:t>
      </w:r>
      <w:r w:rsidR="00C94E1B">
        <w:rPr>
          <w:sz w:val="20"/>
          <w:szCs w:val="20"/>
        </w:rPr>
        <w:t>3</w:t>
      </w:r>
      <w:r>
        <w:rPr>
          <w:sz w:val="20"/>
          <w:szCs w:val="20"/>
        </w:rPr>
        <w:t>) sekcji 2</w:t>
      </w:r>
      <w:r w:rsidRPr="001E4F54">
        <w:rPr>
          <w:sz w:val="20"/>
          <w:szCs w:val="20"/>
        </w:rPr>
        <w:t xml:space="preserve">.1 </w:t>
      </w:r>
      <w:r>
        <w:rPr>
          <w:sz w:val="20"/>
          <w:szCs w:val="20"/>
        </w:rPr>
        <w:t>niniejszego opracowania</w:t>
      </w:r>
      <w:r w:rsidRPr="001E4F54">
        <w:rPr>
          <w:sz w:val="20"/>
          <w:szCs w:val="20"/>
        </w:rPr>
        <w:t>.</w:t>
      </w:r>
    </w:p>
    <w:p w:rsidR="002C1D99" w:rsidRPr="0084316F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84316F">
        <w:rPr>
          <w:sz w:val="20"/>
          <w:szCs w:val="20"/>
        </w:rPr>
        <w:t>Warunkiem finansowania szkolenia jest zgodność tematyki z polityką szkoleniową</w:t>
      </w:r>
      <w:r>
        <w:rPr>
          <w:sz w:val="20"/>
          <w:szCs w:val="20"/>
        </w:rPr>
        <w:t xml:space="preserve"> </w:t>
      </w:r>
      <w:r w:rsidR="00C94E1B" w:rsidRPr="00895ACD">
        <w:rPr>
          <w:sz w:val="20"/>
          <w:szCs w:val="20"/>
        </w:rPr>
        <w:t xml:space="preserve">Urzędu Miejskiego </w:t>
      </w:r>
      <w:r w:rsidR="00F73F3A">
        <w:rPr>
          <w:sz w:val="20"/>
          <w:szCs w:val="20"/>
        </w:rPr>
        <w:br/>
      </w:r>
      <w:r w:rsidR="00C94E1B" w:rsidRPr="00895ACD">
        <w:rPr>
          <w:sz w:val="20"/>
          <w:szCs w:val="20"/>
        </w:rPr>
        <w:t>w Koszalinie</w:t>
      </w:r>
      <w:r w:rsidR="007D2395">
        <w:rPr>
          <w:sz w:val="20"/>
          <w:szCs w:val="20"/>
        </w:rPr>
        <w:t>, Instytucji Zarządzającej RPO WZ 2014-2020</w:t>
      </w:r>
      <w:r w:rsidR="00C94E1B" w:rsidRPr="0084316F">
        <w:rPr>
          <w:sz w:val="20"/>
          <w:szCs w:val="20"/>
        </w:rPr>
        <w:t xml:space="preserve"> </w:t>
      </w:r>
      <w:r w:rsidRPr="0084316F">
        <w:rPr>
          <w:sz w:val="20"/>
          <w:szCs w:val="20"/>
        </w:rPr>
        <w:t>lub zakresem obowiązków pracownika.</w:t>
      </w:r>
    </w:p>
    <w:p w:rsidR="002C1D99" w:rsidRPr="00EF24F6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EF24F6">
        <w:rPr>
          <w:sz w:val="20"/>
          <w:szCs w:val="20"/>
        </w:rPr>
        <w:t>W ramach podnoszenia kwalifikacji, z pomocy technicznej finansować można również opłaty wpisowe pod warunkiem podjęcia studiów lub innych form szkoleniowych, które takiej opłaty wymagają, a także koszty egzaminów, pod warunkiem uzyskania pozytywnej</w:t>
      </w:r>
      <w:r>
        <w:rPr>
          <w:sz w:val="20"/>
          <w:szCs w:val="20"/>
        </w:rPr>
        <w:t xml:space="preserve"> </w:t>
      </w:r>
      <w:r w:rsidRPr="00EF24F6">
        <w:rPr>
          <w:sz w:val="20"/>
          <w:szCs w:val="20"/>
        </w:rPr>
        <w:t>oceny.</w:t>
      </w:r>
    </w:p>
    <w:p w:rsidR="002C1D99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EF24F6">
        <w:rPr>
          <w:sz w:val="20"/>
          <w:szCs w:val="20"/>
        </w:rPr>
        <w:t>W odniesieniu do szkoleń językowych, co do zasady wydatkami kwalifikowalnymi są wydatki poniesione</w:t>
      </w:r>
      <w:r w:rsidR="00C94E1B">
        <w:rPr>
          <w:sz w:val="20"/>
          <w:szCs w:val="20"/>
        </w:rPr>
        <w:t xml:space="preserve"> na naukę języków urzędowych UE</w:t>
      </w:r>
      <w:r w:rsidRPr="00EF24F6">
        <w:rPr>
          <w:sz w:val="20"/>
          <w:szCs w:val="20"/>
        </w:rPr>
        <w:t xml:space="preserve"> chyba</w:t>
      </w:r>
      <w:r w:rsidR="00C94E1B">
        <w:rPr>
          <w:sz w:val="20"/>
          <w:szCs w:val="20"/>
        </w:rPr>
        <w:t>,</w:t>
      </w:r>
      <w:r w:rsidRPr="00EF24F6">
        <w:rPr>
          <w:sz w:val="20"/>
          <w:szCs w:val="20"/>
        </w:rPr>
        <w:t xml:space="preserve"> że uzasadnione jest na danym stanowisku pracy finansowanie nauki innego języka.</w:t>
      </w:r>
    </w:p>
    <w:p w:rsidR="002C1D99" w:rsidRPr="00EF24F6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EF24F6">
        <w:rPr>
          <w:sz w:val="20"/>
          <w:szCs w:val="20"/>
        </w:rPr>
        <w:t xml:space="preserve">Studia z zakresu Master of Business Administration, a także koszty postępowania kwalifikacyjnego </w:t>
      </w:r>
      <w:r w:rsidR="00F73F3A">
        <w:rPr>
          <w:sz w:val="20"/>
          <w:szCs w:val="20"/>
        </w:rPr>
        <w:br/>
      </w:r>
      <w:r w:rsidRPr="00EF24F6">
        <w:rPr>
          <w:sz w:val="20"/>
          <w:szCs w:val="20"/>
        </w:rPr>
        <w:t>w służbie cywilnej wraz z kosztami kursu przygotowawczego</w:t>
      </w:r>
      <w:r>
        <w:rPr>
          <w:sz w:val="20"/>
          <w:szCs w:val="20"/>
        </w:rPr>
        <w:t xml:space="preserve"> </w:t>
      </w:r>
      <w:r w:rsidRPr="00EF24F6">
        <w:rPr>
          <w:sz w:val="20"/>
          <w:szCs w:val="20"/>
        </w:rPr>
        <w:t xml:space="preserve">stanowią wydatek niekwalifikowalny </w:t>
      </w:r>
      <w:r w:rsidR="00F73F3A">
        <w:rPr>
          <w:sz w:val="20"/>
          <w:szCs w:val="20"/>
        </w:rPr>
        <w:br/>
      </w:r>
      <w:r w:rsidRPr="00EF24F6">
        <w:rPr>
          <w:sz w:val="20"/>
          <w:szCs w:val="20"/>
        </w:rPr>
        <w:t>w ramach pomocy technicznej.</w:t>
      </w:r>
    </w:p>
    <w:p w:rsidR="002C1D99" w:rsidRPr="00EF24F6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EF24F6">
        <w:rPr>
          <w:sz w:val="20"/>
          <w:szCs w:val="20"/>
        </w:rPr>
        <w:lastRenderedPageBreak/>
        <w:t>W ramach wydatków szkoleniowych kwalifikowalne są również koszty diet,</w:t>
      </w:r>
      <w:r>
        <w:rPr>
          <w:sz w:val="20"/>
          <w:szCs w:val="20"/>
        </w:rPr>
        <w:t xml:space="preserve"> </w:t>
      </w:r>
      <w:r w:rsidRPr="00EF24F6">
        <w:rPr>
          <w:sz w:val="20"/>
          <w:szCs w:val="20"/>
        </w:rPr>
        <w:t>przejazdów oraz zakwaterowania uczestników szkoleń.</w:t>
      </w:r>
    </w:p>
    <w:p w:rsidR="002C1D99" w:rsidRPr="00EF24F6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EF24F6">
        <w:rPr>
          <w:sz w:val="20"/>
          <w:szCs w:val="20"/>
        </w:rPr>
        <w:t xml:space="preserve">W przypadku finansowania ze środków pomocy technicznej studiów podyplomowych oraz studiów I, II, III stopnia, koszty diet, przejazdów oraz zakwaterowania stanowią wydatek kwalifikowalny wyłącznie w sytuacji, gdy możliwość finansowania tego typu wydatków wynika bezpośrednio z regulacji wewnętrznych </w:t>
      </w:r>
      <w:r w:rsidR="00B8203E" w:rsidRPr="00895ACD">
        <w:rPr>
          <w:sz w:val="20"/>
          <w:szCs w:val="20"/>
        </w:rPr>
        <w:t>Urzędu Miejskiego w Koszalinie</w:t>
      </w:r>
      <w:r w:rsidR="00B8203E" w:rsidRPr="0084316F">
        <w:rPr>
          <w:sz w:val="20"/>
          <w:szCs w:val="20"/>
        </w:rPr>
        <w:t xml:space="preserve"> </w:t>
      </w:r>
      <w:r w:rsidRPr="00EF24F6">
        <w:rPr>
          <w:sz w:val="20"/>
          <w:szCs w:val="20"/>
        </w:rPr>
        <w:t>i obejmuje wszystkich pracowników na takich samych zasadach.</w:t>
      </w:r>
    </w:p>
    <w:p w:rsidR="002C1D99" w:rsidRPr="00EF24F6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EF24F6">
        <w:rPr>
          <w:sz w:val="20"/>
          <w:szCs w:val="20"/>
        </w:rPr>
        <w:t xml:space="preserve">Kwalifikowalność wydatków szkoleniowych powinna zostać potwierdzona odpowiednim dokumentem, </w:t>
      </w:r>
      <w:r w:rsidR="00F73F3A">
        <w:rPr>
          <w:sz w:val="20"/>
          <w:szCs w:val="20"/>
        </w:rPr>
        <w:br/>
      </w:r>
      <w:r w:rsidRPr="00EF24F6">
        <w:rPr>
          <w:sz w:val="20"/>
          <w:szCs w:val="20"/>
        </w:rPr>
        <w:t xml:space="preserve">z którego wynika udział lub ukończenie szkolenia (nie dotyczy wizyt studyjnych). W przypadku, gdy dokument, o którym mowa powyżej jest wydawany po zakończeniu realizacji projektu, w ramach którego szkolenie zostało sfinansowane, </w:t>
      </w:r>
      <w:r w:rsidR="00A2159F">
        <w:rPr>
          <w:sz w:val="20"/>
          <w:szCs w:val="20"/>
        </w:rPr>
        <w:t>należy</w:t>
      </w:r>
      <w:r w:rsidR="00A2159F" w:rsidRPr="00EF24F6">
        <w:rPr>
          <w:sz w:val="20"/>
          <w:szCs w:val="20"/>
        </w:rPr>
        <w:t xml:space="preserve"> </w:t>
      </w:r>
      <w:r w:rsidRPr="00EF24F6">
        <w:rPr>
          <w:sz w:val="20"/>
          <w:szCs w:val="20"/>
        </w:rPr>
        <w:t>niezwłocznie uzupełnić dokumentację.</w:t>
      </w:r>
    </w:p>
    <w:p w:rsidR="002C1D99" w:rsidRPr="00D43250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D43250">
        <w:rPr>
          <w:sz w:val="20"/>
          <w:szCs w:val="20"/>
        </w:rPr>
        <w:t>Zakup materiałów szkoleniowych (np. podręczników) jest kwalifikowalny w przypadku, gdy szkolenie jest organizowane przez beneficjenta i materiały te są niezbędne</w:t>
      </w:r>
      <w:r>
        <w:rPr>
          <w:sz w:val="20"/>
          <w:szCs w:val="20"/>
        </w:rPr>
        <w:t xml:space="preserve"> </w:t>
      </w:r>
      <w:r w:rsidRPr="00D43250">
        <w:rPr>
          <w:sz w:val="20"/>
          <w:szCs w:val="20"/>
        </w:rPr>
        <w:t>do przeprowadzenia szkolenia</w:t>
      </w:r>
      <w:r>
        <w:rPr>
          <w:sz w:val="20"/>
          <w:szCs w:val="20"/>
        </w:rPr>
        <w:t>.</w:t>
      </w:r>
    </w:p>
    <w:p w:rsidR="002C1D99" w:rsidRPr="00D43250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D43250">
        <w:rPr>
          <w:sz w:val="20"/>
          <w:szCs w:val="20"/>
        </w:rPr>
        <w:t xml:space="preserve">Zakup materiałów szkoleniowych jest niekwalifikowalny w przypadku, gdy pracownik uczestniczy </w:t>
      </w:r>
      <w:r w:rsidR="00F73F3A">
        <w:rPr>
          <w:sz w:val="20"/>
          <w:szCs w:val="20"/>
        </w:rPr>
        <w:br/>
      </w:r>
      <w:r w:rsidRPr="00D43250">
        <w:rPr>
          <w:sz w:val="20"/>
          <w:szCs w:val="20"/>
        </w:rPr>
        <w:t>w indywidualnych formach kształcenia (np. kursy językowe, studia</w:t>
      </w:r>
      <w:r w:rsidRPr="00D43250">
        <w:t xml:space="preserve"> </w:t>
      </w:r>
      <w:r w:rsidRPr="00D43250">
        <w:rPr>
          <w:sz w:val="20"/>
          <w:szCs w:val="20"/>
        </w:rPr>
        <w:t>podyplomowe) i na własne potrzeby planuje zakupić dodatkowe materiały</w:t>
      </w:r>
      <w:r>
        <w:rPr>
          <w:sz w:val="20"/>
          <w:szCs w:val="20"/>
        </w:rPr>
        <w:t xml:space="preserve"> </w:t>
      </w:r>
      <w:r w:rsidRPr="00D43250">
        <w:rPr>
          <w:sz w:val="20"/>
          <w:szCs w:val="20"/>
        </w:rPr>
        <w:t>szkoleniowe</w:t>
      </w:r>
      <w:r>
        <w:rPr>
          <w:sz w:val="20"/>
          <w:szCs w:val="20"/>
        </w:rPr>
        <w:t>.</w:t>
      </w:r>
    </w:p>
    <w:p w:rsidR="002C1D99" w:rsidRPr="00D43250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D43250">
        <w:rPr>
          <w:sz w:val="20"/>
          <w:szCs w:val="20"/>
        </w:rPr>
        <w:t>Wydatki związane z formami szkoleniowymi, w których ostatecznie pracownik nie uczestniczył, stanowią wydatek niekwalifikowalny w ramach projektów pomocy</w:t>
      </w:r>
      <w:r>
        <w:rPr>
          <w:sz w:val="20"/>
          <w:szCs w:val="20"/>
        </w:rPr>
        <w:t xml:space="preserve"> </w:t>
      </w:r>
      <w:r w:rsidRPr="00D43250">
        <w:rPr>
          <w:sz w:val="20"/>
          <w:szCs w:val="20"/>
        </w:rPr>
        <w:t>technicznej</w:t>
      </w:r>
      <w:r>
        <w:rPr>
          <w:sz w:val="20"/>
          <w:szCs w:val="20"/>
        </w:rPr>
        <w:t>.</w:t>
      </w:r>
    </w:p>
    <w:p w:rsidR="002C1D99" w:rsidRDefault="002C1D99" w:rsidP="00E81B03">
      <w:pPr>
        <w:spacing w:after="0" w:line="23" w:lineRule="atLeast"/>
        <w:jc w:val="both"/>
        <w:rPr>
          <w:b/>
          <w:sz w:val="20"/>
          <w:szCs w:val="20"/>
          <w:u w:val="single"/>
        </w:rPr>
      </w:pPr>
    </w:p>
    <w:p w:rsidR="00F73F3A" w:rsidRPr="002F62AE" w:rsidRDefault="00F73F3A" w:rsidP="00E81B03">
      <w:pPr>
        <w:spacing w:after="0" w:line="23" w:lineRule="atLeast"/>
        <w:jc w:val="both"/>
        <w:rPr>
          <w:b/>
          <w:sz w:val="20"/>
          <w:szCs w:val="20"/>
          <w:u w:val="single"/>
        </w:rPr>
      </w:pPr>
    </w:p>
    <w:p w:rsidR="002C1D99" w:rsidRPr="00F73F3A" w:rsidRDefault="002C1D99" w:rsidP="00E81B03">
      <w:pPr>
        <w:spacing w:after="0" w:line="23" w:lineRule="atLeast"/>
        <w:jc w:val="both"/>
        <w:rPr>
          <w:b/>
          <w:szCs w:val="20"/>
          <w:u w:val="single"/>
        </w:rPr>
      </w:pPr>
      <w:r w:rsidRPr="00F73F3A">
        <w:rPr>
          <w:b/>
          <w:szCs w:val="20"/>
        </w:rPr>
        <w:t>4. Wsparcie funkcjonowania instytucji zaangażowanych w realizację polityki spójności</w:t>
      </w:r>
    </w:p>
    <w:p w:rsidR="002C1D99" w:rsidRPr="002F62AE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pStyle w:val="Akapitzlist"/>
        <w:numPr>
          <w:ilvl w:val="0"/>
          <w:numId w:val="11"/>
        </w:numPr>
        <w:spacing w:after="0" w:line="23" w:lineRule="atLeast"/>
        <w:jc w:val="both"/>
        <w:rPr>
          <w:sz w:val="20"/>
          <w:szCs w:val="20"/>
        </w:rPr>
      </w:pPr>
      <w:r>
        <w:rPr>
          <w:sz w:val="20"/>
          <w:szCs w:val="20"/>
        </w:rPr>
        <w:t>Czynsz i opłaty eksploatacyjne związane z wykorzystaniem pomieszczeń Biura ZIT KKBOF stanowią wydatki kwalifikowalne.</w:t>
      </w:r>
    </w:p>
    <w:p w:rsidR="002C1D99" w:rsidRPr="0010373E" w:rsidRDefault="002C1D99" w:rsidP="00E81B03">
      <w:pPr>
        <w:pStyle w:val="Akapitzlist"/>
        <w:numPr>
          <w:ilvl w:val="0"/>
          <w:numId w:val="11"/>
        </w:numPr>
        <w:spacing w:after="0" w:line="23" w:lineRule="atLeast"/>
        <w:jc w:val="both"/>
        <w:rPr>
          <w:sz w:val="20"/>
          <w:szCs w:val="20"/>
        </w:rPr>
      </w:pPr>
      <w:r w:rsidRPr="0010373E">
        <w:rPr>
          <w:sz w:val="20"/>
          <w:szCs w:val="20"/>
        </w:rPr>
        <w:t>Wydatki niezbędne do sprawnego funkcjonowania</w:t>
      </w:r>
      <w:r>
        <w:rPr>
          <w:sz w:val="20"/>
          <w:szCs w:val="20"/>
        </w:rPr>
        <w:t xml:space="preserve"> </w:t>
      </w:r>
      <w:r w:rsidRPr="0010373E">
        <w:rPr>
          <w:sz w:val="20"/>
          <w:szCs w:val="20"/>
        </w:rPr>
        <w:t>instytucji, których nie można jednostkowo przypisać do stanowiska pracy</w:t>
      </w:r>
      <w:r>
        <w:rPr>
          <w:sz w:val="20"/>
          <w:szCs w:val="20"/>
        </w:rPr>
        <w:t xml:space="preserve"> (tzw. koszty „pozapłacowe”) są pokrywane ze środków Urzędu Miejskiego w Koszalinie.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4</w:t>
      </w:r>
      <w:r w:rsidRPr="006B0602">
        <w:rPr>
          <w:b/>
          <w:sz w:val="20"/>
          <w:szCs w:val="20"/>
        </w:rPr>
        <w:t xml:space="preserve">.1 </w:t>
      </w:r>
      <w:r>
        <w:rPr>
          <w:b/>
          <w:sz w:val="20"/>
          <w:szCs w:val="20"/>
        </w:rPr>
        <w:t xml:space="preserve">– </w:t>
      </w:r>
      <w:r w:rsidRPr="006B0602">
        <w:rPr>
          <w:b/>
          <w:sz w:val="20"/>
          <w:szCs w:val="20"/>
        </w:rPr>
        <w:t>Adaptacja, remont, modernizacja oraz utrzymanie powierzchni</w:t>
      </w:r>
    </w:p>
    <w:p w:rsidR="002C1D99" w:rsidRPr="006B0602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</w:p>
    <w:p w:rsidR="002C1D99" w:rsidRPr="008F5613" w:rsidRDefault="002C1D99" w:rsidP="00E81B03">
      <w:pPr>
        <w:pStyle w:val="Akapitzlist"/>
        <w:numPr>
          <w:ilvl w:val="0"/>
          <w:numId w:val="12"/>
        </w:numPr>
        <w:spacing w:after="0" w:line="23" w:lineRule="atLeast"/>
        <w:jc w:val="both"/>
        <w:rPr>
          <w:sz w:val="20"/>
          <w:szCs w:val="20"/>
        </w:rPr>
      </w:pPr>
      <w:r w:rsidRPr="008F5613">
        <w:rPr>
          <w:sz w:val="20"/>
          <w:szCs w:val="20"/>
        </w:rPr>
        <w:t>Wydatki kwalifikowalne dot. adaptacji, remontu, modernizacji oraz utrzymania powierzchni dotyczą prac, które służą utrzymaniu stanu</w:t>
      </w:r>
      <w:r>
        <w:rPr>
          <w:sz w:val="20"/>
          <w:szCs w:val="20"/>
        </w:rPr>
        <w:t xml:space="preserve"> </w:t>
      </w:r>
      <w:r w:rsidRPr="008F5613">
        <w:rPr>
          <w:sz w:val="20"/>
          <w:szCs w:val="20"/>
        </w:rPr>
        <w:t xml:space="preserve">pomieszczeń </w:t>
      </w:r>
      <w:r>
        <w:rPr>
          <w:sz w:val="20"/>
          <w:szCs w:val="20"/>
        </w:rPr>
        <w:t xml:space="preserve">Biura ZIT KKBOF </w:t>
      </w:r>
      <w:r w:rsidRPr="008F5613">
        <w:rPr>
          <w:sz w:val="20"/>
          <w:szCs w:val="20"/>
        </w:rPr>
        <w:t>w standardzie umożliwiającym efektywne wykonywanie zadań.</w:t>
      </w:r>
    </w:p>
    <w:p w:rsidR="002C1D99" w:rsidRDefault="002C1D99" w:rsidP="00E81B03">
      <w:pPr>
        <w:pStyle w:val="Akapitzlist"/>
        <w:numPr>
          <w:ilvl w:val="0"/>
          <w:numId w:val="12"/>
        </w:numPr>
        <w:spacing w:after="0" w:line="23" w:lineRule="atLeast"/>
        <w:jc w:val="both"/>
        <w:rPr>
          <w:sz w:val="20"/>
          <w:szCs w:val="20"/>
        </w:rPr>
      </w:pPr>
      <w:r w:rsidRPr="008F5613">
        <w:rPr>
          <w:sz w:val="20"/>
          <w:szCs w:val="20"/>
        </w:rPr>
        <w:t xml:space="preserve">Sfinansowanie kosztów remontu, adaptacji lub modernizacji wymaga zapewnienia wykorzystywania wyremontowanych pomieszczeń przez cały okres pełnienia funkcji IP ZIT KKBOF w systemie realizacji polityki spójności. </w:t>
      </w:r>
      <w:r w:rsidR="00974F18" w:rsidRPr="00B8203E">
        <w:rPr>
          <w:sz w:val="20"/>
          <w:szCs w:val="20"/>
        </w:rPr>
        <w:t xml:space="preserve">Może nastąpić </w:t>
      </w:r>
      <w:r w:rsidR="00974F18">
        <w:rPr>
          <w:sz w:val="20"/>
          <w:szCs w:val="20"/>
        </w:rPr>
        <w:t>u</w:t>
      </w:r>
      <w:r w:rsidRPr="00B8203E">
        <w:rPr>
          <w:sz w:val="20"/>
          <w:szCs w:val="20"/>
        </w:rPr>
        <w:t>zasadniona zmiana wyremontowanej siedziby przy zastrzeżeniu, że nie będzie już przysługiwało finansowanie z pomocy technicznej kosztów remontu w nowej siedzibie.</w:t>
      </w:r>
    </w:p>
    <w:p w:rsidR="007D2395" w:rsidRPr="008F5613" w:rsidRDefault="007D2395" w:rsidP="00E81B03">
      <w:pPr>
        <w:pStyle w:val="Akapitzlist"/>
        <w:numPr>
          <w:ilvl w:val="0"/>
          <w:numId w:val="12"/>
        </w:numPr>
        <w:spacing w:after="0" w:line="23" w:lineRule="atLeas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Kwalifikowane są również wydatki opisane w pkt 1) w przypadku </w:t>
      </w:r>
      <w:r w:rsidR="000B6C3A">
        <w:rPr>
          <w:sz w:val="20"/>
          <w:szCs w:val="20"/>
        </w:rPr>
        <w:t xml:space="preserve">uzasadnionego </w:t>
      </w:r>
      <w:r>
        <w:rPr>
          <w:sz w:val="20"/>
          <w:szCs w:val="20"/>
        </w:rPr>
        <w:t>wynajęcia dodatkowej liczby pomieszczeń.</w:t>
      </w:r>
    </w:p>
    <w:p w:rsidR="002C1D99" w:rsidRPr="008F5613" w:rsidRDefault="002C1D99" w:rsidP="00E81B03">
      <w:pPr>
        <w:pStyle w:val="Akapitzlist"/>
        <w:numPr>
          <w:ilvl w:val="0"/>
          <w:numId w:val="12"/>
        </w:numPr>
        <w:spacing w:after="0" w:line="23" w:lineRule="atLeast"/>
        <w:jc w:val="both"/>
        <w:rPr>
          <w:sz w:val="20"/>
          <w:szCs w:val="20"/>
        </w:rPr>
      </w:pPr>
      <w:r w:rsidRPr="008F5613">
        <w:rPr>
          <w:sz w:val="20"/>
          <w:szCs w:val="20"/>
        </w:rPr>
        <w:t>Niekwalifikowalne w ramach pomocy technicznej są koszty związane z utrzymaniem, remontem lub modernizacją powierzchni, która nie jest bezpośrednio wykorzystywana w trakcie realizacji zadań kwalifikowalnych, np. parking, elewacja budynku, tereny zielone</w:t>
      </w:r>
      <w:r>
        <w:rPr>
          <w:sz w:val="20"/>
          <w:szCs w:val="20"/>
        </w:rPr>
        <w:t xml:space="preserve"> </w:t>
      </w:r>
      <w:r w:rsidRPr="008F5613">
        <w:rPr>
          <w:sz w:val="20"/>
          <w:szCs w:val="20"/>
        </w:rPr>
        <w:t>itp.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4.2 – </w:t>
      </w:r>
      <w:r w:rsidRPr="006B0602">
        <w:rPr>
          <w:b/>
          <w:sz w:val="20"/>
          <w:szCs w:val="20"/>
        </w:rPr>
        <w:t>Środki transportu</w:t>
      </w:r>
    </w:p>
    <w:p w:rsidR="002C1D99" w:rsidRPr="006B0602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</w:p>
    <w:p w:rsidR="002C1D99" w:rsidRDefault="002C1D99" w:rsidP="00E81B03">
      <w:pPr>
        <w:pStyle w:val="Akapitzlist"/>
        <w:numPr>
          <w:ilvl w:val="0"/>
          <w:numId w:val="13"/>
        </w:numPr>
        <w:spacing w:after="0" w:line="23" w:lineRule="atLeast"/>
        <w:jc w:val="both"/>
        <w:rPr>
          <w:sz w:val="20"/>
          <w:szCs w:val="20"/>
        </w:rPr>
      </w:pPr>
      <w:r w:rsidRPr="006B0602">
        <w:rPr>
          <w:sz w:val="20"/>
          <w:szCs w:val="20"/>
        </w:rPr>
        <w:t>Zakup środków transportu jest niekwalifikowalny ze środków pomocy technicznej.</w:t>
      </w:r>
    </w:p>
    <w:p w:rsidR="002C1D99" w:rsidRPr="00BC02A0" w:rsidRDefault="002C1D99" w:rsidP="00E81B03">
      <w:pPr>
        <w:pStyle w:val="Akapitzlist"/>
        <w:numPr>
          <w:ilvl w:val="0"/>
          <w:numId w:val="13"/>
        </w:numPr>
        <w:spacing w:after="0" w:line="23" w:lineRule="atLeast"/>
        <w:jc w:val="both"/>
        <w:rPr>
          <w:sz w:val="20"/>
          <w:szCs w:val="20"/>
        </w:rPr>
      </w:pPr>
      <w:r w:rsidRPr="006B0602">
        <w:rPr>
          <w:sz w:val="20"/>
          <w:szCs w:val="20"/>
        </w:rPr>
        <w:t xml:space="preserve">Kwalifikowalne </w:t>
      </w:r>
      <w:r w:rsidRPr="00BC02A0">
        <w:rPr>
          <w:sz w:val="20"/>
          <w:szCs w:val="20"/>
        </w:rPr>
        <w:t>mogą być koszty związane z użytkowaniem środków transportu należąc</w:t>
      </w:r>
      <w:r w:rsidR="00974F18">
        <w:rPr>
          <w:sz w:val="20"/>
          <w:szCs w:val="20"/>
        </w:rPr>
        <w:t>ych</w:t>
      </w:r>
      <w:r w:rsidRPr="00BC02A0">
        <w:rPr>
          <w:sz w:val="20"/>
          <w:szCs w:val="20"/>
        </w:rPr>
        <w:t xml:space="preserve"> do Gminy Miasto Koszalin i na zasadach obowiązujących w Urzędzie Miejskim w Koszalinie.</w:t>
      </w:r>
    </w:p>
    <w:p w:rsidR="002C1D99" w:rsidRPr="006B0602" w:rsidRDefault="002C1D99" w:rsidP="00E81B03">
      <w:pPr>
        <w:pStyle w:val="Akapitzlist"/>
        <w:numPr>
          <w:ilvl w:val="0"/>
          <w:numId w:val="13"/>
        </w:numPr>
        <w:spacing w:after="0" w:line="23" w:lineRule="atLeast"/>
        <w:jc w:val="both"/>
        <w:rPr>
          <w:sz w:val="20"/>
          <w:szCs w:val="20"/>
        </w:rPr>
      </w:pPr>
      <w:r w:rsidRPr="006B0602">
        <w:rPr>
          <w:sz w:val="20"/>
          <w:szCs w:val="20"/>
        </w:rPr>
        <w:t>Wyliczenia poziomu kwalifikowalności wydatków, związanych z użytkowaniem środka transportu, należy dokonać proporcjonalnie do jego wykorzystania w zakresie realizacji</w:t>
      </w:r>
      <w:r>
        <w:rPr>
          <w:sz w:val="20"/>
          <w:szCs w:val="20"/>
        </w:rPr>
        <w:t xml:space="preserve"> </w:t>
      </w:r>
      <w:r w:rsidRPr="006B0602">
        <w:rPr>
          <w:sz w:val="20"/>
          <w:szCs w:val="20"/>
        </w:rPr>
        <w:t>zadań związanych z realizacją funduszy polityki spójności</w:t>
      </w:r>
      <w:r>
        <w:rPr>
          <w:sz w:val="20"/>
          <w:szCs w:val="20"/>
        </w:rPr>
        <w:t>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4.3 – </w:t>
      </w:r>
      <w:r w:rsidRPr="00F7741B">
        <w:rPr>
          <w:b/>
          <w:sz w:val="20"/>
          <w:szCs w:val="20"/>
        </w:rPr>
        <w:t>Wyposażenie stanowiska pracy</w:t>
      </w:r>
    </w:p>
    <w:p w:rsidR="002C1D99" w:rsidRPr="00F7741B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</w:p>
    <w:p w:rsidR="002C1D99" w:rsidRDefault="002C1D99" w:rsidP="00E81B03">
      <w:pPr>
        <w:pStyle w:val="Akapitzlist"/>
        <w:numPr>
          <w:ilvl w:val="0"/>
          <w:numId w:val="14"/>
        </w:numPr>
        <w:spacing w:after="0" w:line="23" w:lineRule="atLeast"/>
        <w:jc w:val="both"/>
        <w:rPr>
          <w:sz w:val="20"/>
          <w:szCs w:val="20"/>
        </w:rPr>
      </w:pPr>
      <w:r w:rsidRPr="00DE5724">
        <w:rPr>
          <w:sz w:val="20"/>
          <w:szCs w:val="20"/>
        </w:rPr>
        <w:t xml:space="preserve">Wydatki na zakup sprzętu, oprogramowania i wyposażenia, które można bezpośrednio powiązać </w:t>
      </w:r>
      <w:r w:rsidR="00974F18">
        <w:rPr>
          <w:sz w:val="20"/>
          <w:szCs w:val="20"/>
        </w:rPr>
        <w:br/>
      </w:r>
      <w:r w:rsidRPr="00DE5724">
        <w:rPr>
          <w:sz w:val="20"/>
          <w:szCs w:val="20"/>
        </w:rPr>
        <w:t>z pracownikiem są kwalifikowalne i mogą być w całości finansowane</w:t>
      </w:r>
      <w:r>
        <w:rPr>
          <w:sz w:val="20"/>
          <w:szCs w:val="20"/>
        </w:rPr>
        <w:t xml:space="preserve"> </w:t>
      </w:r>
      <w:r w:rsidRPr="00DE5724">
        <w:rPr>
          <w:sz w:val="20"/>
          <w:szCs w:val="20"/>
        </w:rPr>
        <w:t xml:space="preserve">ze środków pomocy technicznej </w:t>
      </w:r>
      <w:r w:rsidR="00974F18">
        <w:rPr>
          <w:sz w:val="20"/>
          <w:szCs w:val="20"/>
        </w:rPr>
        <w:br/>
      </w:r>
      <w:r w:rsidRPr="00DE5724">
        <w:rPr>
          <w:sz w:val="20"/>
          <w:szCs w:val="20"/>
        </w:rPr>
        <w:t>w przypadku pracowników IP ZIT KKBOF.</w:t>
      </w:r>
    </w:p>
    <w:p w:rsidR="002C1D99" w:rsidRPr="00235F21" w:rsidRDefault="002C1D99" w:rsidP="00E81B03">
      <w:pPr>
        <w:pStyle w:val="Akapitzlist"/>
        <w:numPr>
          <w:ilvl w:val="0"/>
          <w:numId w:val="14"/>
        </w:numPr>
        <w:spacing w:after="0" w:line="23" w:lineRule="atLeast"/>
        <w:jc w:val="both"/>
        <w:rPr>
          <w:sz w:val="20"/>
          <w:szCs w:val="20"/>
        </w:rPr>
      </w:pPr>
      <w:r w:rsidRPr="00235F21">
        <w:rPr>
          <w:sz w:val="20"/>
          <w:szCs w:val="20"/>
        </w:rPr>
        <w:t>Zakup sprzętu i wyposażenia, którego nie można bezpośrednio powiązać z pracownikiem (np. drukarki sieciowe, kserokopia</w:t>
      </w:r>
      <w:r>
        <w:rPr>
          <w:sz w:val="20"/>
          <w:szCs w:val="20"/>
        </w:rPr>
        <w:t xml:space="preserve">rki, tonery do drukarek itp.), ale </w:t>
      </w:r>
      <w:r w:rsidRPr="00235F21">
        <w:rPr>
          <w:sz w:val="20"/>
          <w:szCs w:val="20"/>
        </w:rPr>
        <w:t xml:space="preserve">jest on nabywany na potrzeby instytucji zajmującej się </w:t>
      </w:r>
      <w:r w:rsidRPr="00235F21">
        <w:rPr>
          <w:sz w:val="20"/>
          <w:szCs w:val="20"/>
        </w:rPr>
        <w:lastRenderedPageBreak/>
        <w:t>obsługą funduszy polityki spójności – IP ZIT KKBOF, w której poziom kwalifikowalności pracowników wynosi 100% (jak określono w pkt</w:t>
      </w:r>
      <w:r w:rsidR="00974F18">
        <w:rPr>
          <w:sz w:val="20"/>
          <w:szCs w:val="20"/>
        </w:rPr>
        <w:t xml:space="preserve"> 2</w:t>
      </w:r>
      <w:r w:rsidRPr="00235F21">
        <w:rPr>
          <w:sz w:val="20"/>
          <w:szCs w:val="20"/>
        </w:rPr>
        <w:t xml:space="preserve">) sekcji 2.1 niniejszego opracowania), </w:t>
      </w:r>
      <w:r>
        <w:rPr>
          <w:sz w:val="20"/>
          <w:szCs w:val="20"/>
        </w:rPr>
        <w:t>jest finansowany</w:t>
      </w:r>
      <w:r w:rsidRPr="00235F21">
        <w:rPr>
          <w:sz w:val="20"/>
          <w:szCs w:val="20"/>
        </w:rPr>
        <w:t xml:space="preserve"> w całości ze środków</w:t>
      </w:r>
      <w:r>
        <w:rPr>
          <w:sz w:val="20"/>
          <w:szCs w:val="20"/>
        </w:rPr>
        <w:t xml:space="preserve"> </w:t>
      </w:r>
      <w:r w:rsidRPr="00235F21">
        <w:rPr>
          <w:sz w:val="20"/>
          <w:szCs w:val="20"/>
        </w:rPr>
        <w:t>pomocy technicznej</w:t>
      </w:r>
      <w:r>
        <w:rPr>
          <w:sz w:val="20"/>
          <w:szCs w:val="20"/>
        </w:rPr>
        <w:t>.</w:t>
      </w:r>
    </w:p>
    <w:p w:rsidR="002C1D99" w:rsidRPr="009402CD" w:rsidRDefault="002C1D99" w:rsidP="00E81B03">
      <w:pPr>
        <w:pStyle w:val="Akapitzlist"/>
        <w:numPr>
          <w:ilvl w:val="0"/>
          <w:numId w:val="14"/>
        </w:numPr>
        <w:spacing w:after="0" w:line="23" w:lineRule="atLeast"/>
        <w:jc w:val="both"/>
        <w:rPr>
          <w:sz w:val="20"/>
          <w:szCs w:val="20"/>
        </w:rPr>
      </w:pPr>
      <w:r w:rsidRPr="009402CD">
        <w:rPr>
          <w:sz w:val="20"/>
          <w:szCs w:val="20"/>
        </w:rPr>
        <w:t>Kwalifikowalne jest niezbędne wyposażenie stanowiska pracy określone w odpowiednich</w:t>
      </w:r>
      <w:r>
        <w:rPr>
          <w:sz w:val="20"/>
          <w:szCs w:val="20"/>
        </w:rPr>
        <w:t xml:space="preserve"> </w:t>
      </w:r>
      <w:r w:rsidRPr="009402CD">
        <w:rPr>
          <w:sz w:val="20"/>
          <w:szCs w:val="20"/>
        </w:rPr>
        <w:t>przepisach BHP (biurko, krzesło, zagłówki, podnóżki, apteczka itp.).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964D46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4.4 – </w:t>
      </w:r>
      <w:r w:rsidRPr="00964D46">
        <w:rPr>
          <w:b/>
          <w:sz w:val="20"/>
          <w:szCs w:val="20"/>
        </w:rPr>
        <w:t>Delegacje służbowe</w:t>
      </w:r>
    </w:p>
    <w:p w:rsidR="00974F18" w:rsidRPr="00275191" w:rsidRDefault="00974F18" w:rsidP="00275191">
      <w:pPr>
        <w:spacing w:after="0" w:line="23" w:lineRule="atLeast"/>
        <w:jc w:val="both"/>
        <w:rPr>
          <w:sz w:val="20"/>
          <w:szCs w:val="20"/>
        </w:rPr>
      </w:pP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>Cel delegacji powinien być bezpośrednio związany z zadaniami kwalifikowalnymi instytucji w zakresie realizacji polityki spójności a wydatki poniesione w ramach delegacji nie powinny przekraczać limitów obowiązujących daną jednostkę na podstawie</w:t>
      </w:r>
      <w:r>
        <w:rPr>
          <w:sz w:val="20"/>
          <w:szCs w:val="20"/>
        </w:rPr>
        <w:t xml:space="preserve"> </w:t>
      </w:r>
      <w:r w:rsidRPr="00991610">
        <w:rPr>
          <w:sz w:val="20"/>
          <w:szCs w:val="20"/>
        </w:rPr>
        <w:t>przepisów krajowych lub regulacji wewnętrznych.</w:t>
      </w: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>Przejazdy powinny odbywać się przy użyciu najbardziej efektywnych i uzasadnionych</w:t>
      </w:r>
      <w:r>
        <w:rPr>
          <w:sz w:val="20"/>
          <w:szCs w:val="20"/>
        </w:rPr>
        <w:t xml:space="preserve"> </w:t>
      </w:r>
      <w:r w:rsidRPr="00991610">
        <w:rPr>
          <w:sz w:val="20"/>
          <w:szCs w:val="20"/>
        </w:rPr>
        <w:t>ekonomicznie środków transportu.</w:t>
      </w: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 xml:space="preserve">Prywatne środki transportu rozliczane są tylko do wysokości określonej w odpowiednich przepisach krajowych lub w regulaminach wewnętrznych </w:t>
      </w:r>
      <w:r>
        <w:rPr>
          <w:sz w:val="20"/>
          <w:szCs w:val="20"/>
        </w:rPr>
        <w:t>Urzędu Miejskiego w Koszalinie</w:t>
      </w:r>
      <w:r w:rsidRPr="00991610">
        <w:rPr>
          <w:sz w:val="20"/>
          <w:szCs w:val="20"/>
        </w:rPr>
        <w:t>.</w:t>
      </w: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>Ze środków pomocy technicznej możliwe jest rozliczenie kosztów delegacji pracownika obsługującego podróż służbową (kierowcy) oraz opłaty za przejazd płatnymi odcinkami</w:t>
      </w:r>
      <w:r>
        <w:rPr>
          <w:sz w:val="20"/>
          <w:szCs w:val="20"/>
        </w:rPr>
        <w:t xml:space="preserve"> </w:t>
      </w:r>
      <w:r w:rsidRPr="00991610">
        <w:rPr>
          <w:sz w:val="20"/>
          <w:szCs w:val="20"/>
        </w:rPr>
        <w:t>dróg.</w:t>
      </w: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>Koszty parkingu mogą być rozliczone w przypadku, gdy dotyczą delegacji (np. opłata za</w:t>
      </w:r>
      <w:r>
        <w:rPr>
          <w:sz w:val="20"/>
          <w:szCs w:val="20"/>
        </w:rPr>
        <w:t xml:space="preserve"> </w:t>
      </w:r>
      <w:r w:rsidRPr="00991610">
        <w:rPr>
          <w:sz w:val="20"/>
          <w:szCs w:val="20"/>
        </w:rPr>
        <w:t>parking hotelowy).</w:t>
      </w: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>Wydatki związane z opłatami manipulacyjnymi (np. dopłata za bilet kolejowy u konduktora, opłata za zmianę rezerwacji biletu lotniczego itp.) mogą być uznane za kwalifikowalne jedynie w uzasadnionych okolicznościach i po indywidualnej interpretacji</w:t>
      </w:r>
      <w:r>
        <w:rPr>
          <w:sz w:val="20"/>
          <w:szCs w:val="20"/>
        </w:rPr>
        <w:t xml:space="preserve"> </w:t>
      </w:r>
      <w:r w:rsidRPr="00991610">
        <w:rPr>
          <w:sz w:val="20"/>
          <w:szCs w:val="20"/>
        </w:rPr>
        <w:t xml:space="preserve">każdego przypadku przez </w:t>
      </w:r>
      <w:r w:rsidRPr="00275191">
        <w:rPr>
          <w:sz w:val="20"/>
          <w:szCs w:val="20"/>
        </w:rPr>
        <w:t>IZ RPO WZ</w:t>
      </w:r>
      <w:r w:rsidRPr="00991610">
        <w:rPr>
          <w:sz w:val="20"/>
          <w:szCs w:val="20"/>
        </w:rPr>
        <w:t>.</w:t>
      </w: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>Wydatki związane z podróżami służbowymi, które nie doszły do skutku stanowią wydatek</w:t>
      </w:r>
      <w:r>
        <w:rPr>
          <w:sz w:val="20"/>
          <w:szCs w:val="20"/>
        </w:rPr>
        <w:t xml:space="preserve"> </w:t>
      </w:r>
      <w:r w:rsidRPr="00991610">
        <w:rPr>
          <w:sz w:val="20"/>
          <w:szCs w:val="20"/>
        </w:rPr>
        <w:t>niekwalifikowalny w ramach projektów pomocy technicznej.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F73F3A" w:rsidRDefault="00F73F3A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F73F3A" w:rsidRDefault="002C1D99" w:rsidP="00E81B03">
      <w:pPr>
        <w:spacing w:after="0" w:line="23" w:lineRule="atLeast"/>
        <w:jc w:val="both"/>
        <w:rPr>
          <w:b/>
          <w:szCs w:val="20"/>
        </w:rPr>
      </w:pPr>
      <w:r w:rsidRPr="00F73F3A">
        <w:rPr>
          <w:b/>
          <w:szCs w:val="20"/>
        </w:rPr>
        <w:t>5. Informacja i promocja</w:t>
      </w:r>
    </w:p>
    <w:p w:rsidR="002C1D99" w:rsidRPr="00BE3B2F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</w:p>
    <w:p w:rsidR="002C1D99" w:rsidRPr="00BE3B2F" w:rsidRDefault="002C1D99" w:rsidP="00E81B03">
      <w:pPr>
        <w:pStyle w:val="Akapitzlist"/>
        <w:numPr>
          <w:ilvl w:val="0"/>
          <w:numId w:val="17"/>
        </w:numPr>
        <w:spacing w:after="0" w:line="23" w:lineRule="atLeast"/>
        <w:jc w:val="both"/>
        <w:rPr>
          <w:sz w:val="20"/>
          <w:szCs w:val="20"/>
        </w:rPr>
      </w:pPr>
      <w:r w:rsidRPr="00BE3B2F">
        <w:rPr>
          <w:sz w:val="20"/>
          <w:szCs w:val="20"/>
        </w:rPr>
        <w:t>Ze środków pomocy technicznej możliwe jest finansowanie wydatków związanych z promocją oraz informacją w zakresie funduszy polityki spójności.</w:t>
      </w:r>
    </w:p>
    <w:p w:rsidR="002C1D99" w:rsidRPr="000C1E65" w:rsidRDefault="002C1D99" w:rsidP="00E81B03">
      <w:pPr>
        <w:pStyle w:val="Akapitzlist"/>
        <w:numPr>
          <w:ilvl w:val="0"/>
          <w:numId w:val="17"/>
        </w:numPr>
        <w:spacing w:after="0" w:line="23" w:lineRule="atLeast"/>
        <w:jc w:val="both"/>
        <w:rPr>
          <w:sz w:val="20"/>
          <w:szCs w:val="20"/>
        </w:rPr>
      </w:pPr>
      <w:r w:rsidRPr="000C1E65">
        <w:rPr>
          <w:sz w:val="20"/>
          <w:szCs w:val="20"/>
        </w:rPr>
        <w:t xml:space="preserve">Wydatki związane z informacją i promocją funduszy polityki spójności są kwalifikowalne pod warunkiem ich zgodności z warunkami opisanymi w </w:t>
      </w:r>
      <w:r w:rsidR="00CD47F6">
        <w:rPr>
          <w:i/>
          <w:sz w:val="20"/>
          <w:szCs w:val="20"/>
        </w:rPr>
        <w:t>Wytycznych MR</w:t>
      </w:r>
      <w:r w:rsidRPr="000C1E65">
        <w:rPr>
          <w:i/>
          <w:sz w:val="20"/>
          <w:szCs w:val="20"/>
        </w:rPr>
        <w:t xml:space="preserve"> w zakresie informacji i promocji programów operacyjnych polityki spójności na lata 2014-2020</w:t>
      </w:r>
      <w:r w:rsidRPr="000C1E65">
        <w:rPr>
          <w:sz w:val="20"/>
          <w:szCs w:val="20"/>
        </w:rPr>
        <w:t xml:space="preserve">, wydanych na podstawie art. 5 ust. 1 pkt 9 </w:t>
      </w:r>
      <w:r w:rsidRPr="000C1E65">
        <w:rPr>
          <w:i/>
          <w:sz w:val="20"/>
          <w:szCs w:val="20"/>
        </w:rPr>
        <w:t>ustaw</w:t>
      </w:r>
      <w:r>
        <w:rPr>
          <w:i/>
          <w:sz w:val="20"/>
          <w:szCs w:val="20"/>
        </w:rPr>
        <w:t>y</w:t>
      </w:r>
      <w:r w:rsidRPr="000C1E65">
        <w:rPr>
          <w:i/>
          <w:sz w:val="20"/>
          <w:szCs w:val="20"/>
        </w:rPr>
        <w:t xml:space="preserve"> z dnia </w:t>
      </w:r>
      <w:r w:rsidRPr="00275191">
        <w:rPr>
          <w:i/>
          <w:spacing w:val="-2"/>
          <w:sz w:val="20"/>
          <w:szCs w:val="20"/>
        </w:rPr>
        <w:t>11 lipca 2014 r. o zasadach realizacji programów w zakresie polityki spójności finansowanych w perspektywie</w:t>
      </w:r>
      <w:r w:rsidRPr="000C1E65">
        <w:rPr>
          <w:i/>
          <w:sz w:val="20"/>
          <w:szCs w:val="20"/>
        </w:rPr>
        <w:t xml:space="preserve"> finansowej 2014-2020 (Dz.U. 2014, poz. 1146)</w:t>
      </w:r>
      <w:r w:rsidRPr="000C1E65">
        <w:rPr>
          <w:sz w:val="20"/>
          <w:szCs w:val="20"/>
        </w:rPr>
        <w:t>.</w:t>
      </w:r>
    </w:p>
    <w:p w:rsidR="002C1D99" w:rsidRPr="00BE3B2F" w:rsidRDefault="002C1D99" w:rsidP="00E81B03">
      <w:pPr>
        <w:pStyle w:val="Akapitzlist"/>
        <w:numPr>
          <w:ilvl w:val="0"/>
          <w:numId w:val="17"/>
        </w:numPr>
        <w:spacing w:after="0" w:line="23" w:lineRule="atLeast"/>
        <w:jc w:val="both"/>
        <w:rPr>
          <w:sz w:val="20"/>
          <w:szCs w:val="20"/>
        </w:rPr>
      </w:pPr>
      <w:r w:rsidRPr="00BE3B2F">
        <w:rPr>
          <w:sz w:val="20"/>
          <w:szCs w:val="20"/>
        </w:rPr>
        <w:t xml:space="preserve">Kwalifikowalne są wydatki na działania niezbędne do realizacji wspólnej strategii komunikacji polityki </w:t>
      </w:r>
      <w:r w:rsidRPr="00BC02A0">
        <w:rPr>
          <w:sz w:val="20"/>
          <w:szCs w:val="20"/>
        </w:rPr>
        <w:t>spójności, jak i strategii komunikacji RPO WZ 2014-2020</w:t>
      </w:r>
      <w:r w:rsidRPr="00BE3B2F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BE3B2F">
        <w:rPr>
          <w:sz w:val="20"/>
          <w:szCs w:val="20"/>
        </w:rPr>
        <w:t xml:space="preserve">z wykorzystaniem odpowiednich narzędzi </w:t>
      </w:r>
      <w:r w:rsidR="00F73F3A">
        <w:rPr>
          <w:sz w:val="20"/>
          <w:szCs w:val="20"/>
        </w:rPr>
        <w:br/>
      </w:r>
      <w:r w:rsidRPr="00BE3B2F">
        <w:rPr>
          <w:sz w:val="20"/>
          <w:szCs w:val="20"/>
        </w:rPr>
        <w:t>i kanałów.</w:t>
      </w:r>
    </w:p>
    <w:p w:rsidR="002C1D99" w:rsidRPr="00BE3B2F" w:rsidRDefault="002C1D99" w:rsidP="00E81B03">
      <w:pPr>
        <w:pStyle w:val="Akapitzlist"/>
        <w:numPr>
          <w:ilvl w:val="0"/>
          <w:numId w:val="17"/>
        </w:numPr>
        <w:spacing w:after="0" w:line="23" w:lineRule="atLeast"/>
        <w:jc w:val="both"/>
        <w:rPr>
          <w:sz w:val="20"/>
          <w:szCs w:val="20"/>
        </w:rPr>
      </w:pPr>
      <w:r w:rsidRPr="00BE3B2F">
        <w:rPr>
          <w:sz w:val="20"/>
          <w:szCs w:val="20"/>
        </w:rPr>
        <w:t>W ramach działań informacyjno</w:t>
      </w:r>
      <w:r w:rsidR="005F49D5">
        <w:rPr>
          <w:sz w:val="20"/>
          <w:szCs w:val="20"/>
        </w:rPr>
        <w:t>-</w:t>
      </w:r>
      <w:r w:rsidRPr="00BE3B2F">
        <w:rPr>
          <w:sz w:val="20"/>
          <w:szCs w:val="20"/>
        </w:rPr>
        <w:t>promocyjnych możliwe jest finansowanie szkoleń dla pracowników instytucji zaangażowanych w realizację funduszy polityki spójności,</w:t>
      </w:r>
      <w:r>
        <w:rPr>
          <w:sz w:val="20"/>
          <w:szCs w:val="20"/>
        </w:rPr>
        <w:t xml:space="preserve"> </w:t>
      </w:r>
      <w:r w:rsidRPr="00BE3B2F">
        <w:rPr>
          <w:sz w:val="20"/>
          <w:szCs w:val="20"/>
        </w:rPr>
        <w:t>beneficjentów, potencjalnych b</w:t>
      </w:r>
      <w:r>
        <w:rPr>
          <w:sz w:val="20"/>
          <w:szCs w:val="20"/>
        </w:rPr>
        <w:t xml:space="preserve">eneficjentów </w:t>
      </w:r>
      <w:r w:rsidR="005F49D5">
        <w:rPr>
          <w:sz w:val="20"/>
          <w:szCs w:val="20"/>
        </w:rPr>
        <w:t>oraz</w:t>
      </w:r>
      <w:r>
        <w:rPr>
          <w:sz w:val="20"/>
          <w:szCs w:val="20"/>
        </w:rPr>
        <w:t xml:space="preserve"> partnerów.</w:t>
      </w:r>
    </w:p>
    <w:p w:rsidR="002C1D99" w:rsidRPr="00BE3B2F" w:rsidRDefault="002C1D99" w:rsidP="00E81B03">
      <w:pPr>
        <w:pStyle w:val="Akapitzlist"/>
        <w:numPr>
          <w:ilvl w:val="0"/>
          <w:numId w:val="17"/>
        </w:numPr>
        <w:spacing w:after="0" w:line="23" w:lineRule="atLeast"/>
        <w:jc w:val="both"/>
        <w:rPr>
          <w:sz w:val="20"/>
          <w:szCs w:val="20"/>
        </w:rPr>
      </w:pPr>
      <w:r w:rsidRPr="00BE3B2F">
        <w:rPr>
          <w:sz w:val="20"/>
          <w:szCs w:val="20"/>
        </w:rPr>
        <w:t>Wydatki na cele reprezentacyjne, które nie są związane z promocją funduszy polityki</w:t>
      </w:r>
      <w:r>
        <w:rPr>
          <w:sz w:val="20"/>
          <w:szCs w:val="20"/>
        </w:rPr>
        <w:t xml:space="preserve"> </w:t>
      </w:r>
      <w:r w:rsidRPr="00BE3B2F">
        <w:rPr>
          <w:sz w:val="20"/>
          <w:szCs w:val="20"/>
        </w:rPr>
        <w:t>spójności są niekwalifikowalne.</w:t>
      </w:r>
    </w:p>
    <w:p w:rsidR="002C1D99" w:rsidRPr="000C1E65" w:rsidRDefault="002C1D99" w:rsidP="00E81B03">
      <w:pPr>
        <w:pStyle w:val="Akapitzlist"/>
        <w:numPr>
          <w:ilvl w:val="0"/>
          <w:numId w:val="17"/>
        </w:numPr>
        <w:spacing w:after="0" w:line="23" w:lineRule="atLeast"/>
        <w:jc w:val="both"/>
        <w:rPr>
          <w:sz w:val="20"/>
          <w:szCs w:val="20"/>
        </w:rPr>
      </w:pPr>
      <w:r w:rsidRPr="000C1E65">
        <w:rPr>
          <w:sz w:val="20"/>
          <w:szCs w:val="20"/>
        </w:rPr>
        <w:t>W odniesieniu do projektów związanych z informacją i promocją, w przypadku wystąpienia wydatków związanych z wynagrodzeniami, szkoleniami oraz wsparciem funkcjonowania instytucji, mają zastosowanie warunki opisane w podrozdziałach 7.1, 7.2</w:t>
      </w:r>
      <w:r>
        <w:rPr>
          <w:sz w:val="20"/>
          <w:szCs w:val="20"/>
        </w:rPr>
        <w:t xml:space="preserve"> i 7.3 </w:t>
      </w:r>
      <w:r w:rsidRPr="00CD22A6">
        <w:rPr>
          <w:i/>
          <w:sz w:val="20"/>
          <w:szCs w:val="20"/>
        </w:rPr>
        <w:t>Wytycznych MIiR w zakresie wykorzystania środków pomocy technicznej na lata 2014-2020</w:t>
      </w:r>
      <w:r>
        <w:rPr>
          <w:i/>
          <w:sz w:val="20"/>
          <w:szCs w:val="20"/>
        </w:rPr>
        <w:t>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sectPr w:rsidR="002C1D99" w:rsidSect="004F3C7D">
      <w:footerReference w:type="default" r:id="rId7"/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6C88" w:rsidRDefault="00016C88" w:rsidP="004F3C7D">
      <w:pPr>
        <w:spacing w:after="0" w:line="240" w:lineRule="auto"/>
      </w:pPr>
      <w:r>
        <w:separator/>
      </w:r>
    </w:p>
  </w:endnote>
  <w:endnote w:type="continuationSeparator" w:id="0">
    <w:p w:rsidR="00016C88" w:rsidRDefault="00016C88" w:rsidP="004F3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36629480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4F3C7D" w:rsidRPr="004F3C7D" w:rsidRDefault="004F3C7D">
        <w:pPr>
          <w:pStyle w:val="Stopka"/>
          <w:jc w:val="right"/>
          <w:rPr>
            <w:sz w:val="20"/>
            <w:szCs w:val="20"/>
          </w:rPr>
        </w:pPr>
        <w:r w:rsidRPr="004F3C7D">
          <w:rPr>
            <w:sz w:val="20"/>
            <w:szCs w:val="20"/>
          </w:rPr>
          <w:fldChar w:fldCharType="begin"/>
        </w:r>
        <w:r w:rsidRPr="004F3C7D">
          <w:rPr>
            <w:sz w:val="20"/>
            <w:szCs w:val="20"/>
          </w:rPr>
          <w:instrText>PAGE   \* MERGEFORMAT</w:instrText>
        </w:r>
        <w:r w:rsidRPr="004F3C7D">
          <w:rPr>
            <w:sz w:val="20"/>
            <w:szCs w:val="20"/>
          </w:rPr>
          <w:fldChar w:fldCharType="separate"/>
        </w:r>
        <w:r w:rsidR="003E4419">
          <w:rPr>
            <w:noProof/>
            <w:sz w:val="20"/>
            <w:szCs w:val="20"/>
          </w:rPr>
          <w:t>4</w:t>
        </w:r>
        <w:r w:rsidRPr="004F3C7D">
          <w:rPr>
            <w:sz w:val="20"/>
            <w:szCs w:val="20"/>
          </w:rPr>
          <w:fldChar w:fldCharType="end"/>
        </w:r>
      </w:p>
    </w:sdtContent>
  </w:sdt>
  <w:p w:rsidR="004F3C7D" w:rsidRDefault="004F3C7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6C88" w:rsidRDefault="00016C88" w:rsidP="004F3C7D">
      <w:pPr>
        <w:spacing w:after="0" w:line="240" w:lineRule="auto"/>
      </w:pPr>
      <w:r>
        <w:separator/>
      </w:r>
    </w:p>
  </w:footnote>
  <w:footnote w:type="continuationSeparator" w:id="0">
    <w:p w:rsidR="00016C88" w:rsidRDefault="00016C88" w:rsidP="004F3C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3C7D" w:rsidRDefault="004F3C7D">
    <w:pPr>
      <w:pStyle w:val="Nagwek"/>
    </w:pPr>
    <w:r>
      <w:rPr>
        <w:noProof/>
        <w:lang w:eastAsia="pl-PL"/>
      </w:rPr>
      <w:drawing>
        <wp:inline distT="0" distB="0" distL="0" distR="0" wp14:anchorId="7487F17C" wp14:editId="1E48185C">
          <wp:extent cx="5734050" cy="628650"/>
          <wp:effectExtent l="0" t="0" r="0" b="0"/>
          <wp:docPr id="1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3C7D" w:rsidRDefault="004F3C7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83DA4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18D608F9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1A1B2DB9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20F629D6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22E573E5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23B92B3B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24686683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2EAC376C"/>
    <w:multiLevelType w:val="multilevel"/>
    <w:tmpl w:val="BD40B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255FE4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3A0C122F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42F32A2A"/>
    <w:multiLevelType w:val="hybridMultilevel"/>
    <w:tmpl w:val="91FA9FD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38F0A7D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491B5664"/>
    <w:multiLevelType w:val="hybridMultilevel"/>
    <w:tmpl w:val="C436D4DC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 w15:restartNumberingAfterBreak="0">
    <w:nsid w:val="548E0016"/>
    <w:multiLevelType w:val="hybridMultilevel"/>
    <w:tmpl w:val="E98676E2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62B86F4D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6B9A3FC6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6CC814D1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785102D2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2"/>
  </w:num>
  <w:num w:numId="2">
    <w:abstractNumId w:val="16"/>
  </w:num>
  <w:num w:numId="3">
    <w:abstractNumId w:val="10"/>
  </w:num>
  <w:num w:numId="4">
    <w:abstractNumId w:val="9"/>
  </w:num>
  <w:num w:numId="5">
    <w:abstractNumId w:val="15"/>
  </w:num>
  <w:num w:numId="6">
    <w:abstractNumId w:val="0"/>
  </w:num>
  <w:num w:numId="7">
    <w:abstractNumId w:val="14"/>
  </w:num>
  <w:num w:numId="8">
    <w:abstractNumId w:val="1"/>
  </w:num>
  <w:num w:numId="9">
    <w:abstractNumId w:val="13"/>
  </w:num>
  <w:num w:numId="10">
    <w:abstractNumId w:val="8"/>
  </w:num>
  <w:num w:numId="11">
    <w:abstractNumId w:val="11"/>
  </w:num>
  <w:num w:numId="12">
    <w:abstractNumId w:val="5"/>
  </w:num>
  <w:num w:numId="13">
    <w:abstractNumId w:val="17"/>
  </w:num>
  <w:num w:numId="14">
    <w:abstractNumId w:val="3"/>
  </w:num>
  <w:num w:numId="15">
    <w:abstractNumId w:val="4"/>
  </w:num>
  <w:num w:numId="16">
    <w:abstractNumId w:val="6"/>
  </w:num>
  <w:num w:numId="17">
    <w:abstractNumId w:val="2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365"/>
    <w:rsid w:val="00016C88"/>
    <w:rsid w:val="0002062B"/>
    <w:rsid w:val="00023A97"/>
    <w:rsid w:val="000357C3"/>
    <w:rsid w:val="00065433"/>
    <w:rsid w:val="000B3952"/>
    <w:rsid w:val="000B6C3A"/>
    <w:rsid w:val="000C1E65"/>
    <w:rsid w:val="000D5EDD"/>
    <w:rsid w:val="000F31FE"/>
    <w:rsid w:val="0010373E"/>
    <w:rsid w:val="001432BA"/>
    <w:rsid w:val="00174B7C"/>
    <w:rsid w:val="00197097"/>
    <w:rsid w:val="001E4F54"/>
    <w:rsid w:val="00216876"/>
    <w:rsid w:val="00235F21"/>
    <w:rsid w:val="00240691"/>
    <w:rsid w:val="00264D4B"/>
    <w:rsid w:val="00275191"/>
    <w:rsid w:val="002C1D99"/>
    <w:rsid w:val="002C7B08"/>
    <w:rsid w:val="002E6A0C"/>
    <w:rsid w:val="002F62AE"/>
    <w:rsid w:val="00302277"/>
    <w:rsid w:val="00332634"/>
    <w:rsid w:val="0033474A"/>
    <w:rsid w:val="00390720"/>
    <w:rsid w:val="00391A1F"/>
    <w:rsid w:val="003B6A67"/>
    <w:rsid w:val="003E4419"/>
    <w:rsid w:val="00416240"/>
    <w:rsid w:val="004B1EDB"/>
    <w:rsid w:val="004B7453"/>
    <w:rsid w:val="004E5F39"/>
    <w:rsid w:val="004F2537"/>
    <w:rsid w:val="004F3C7D"/>
    <w:rsid w:val="005032A0"/>
    <w:rsid w:val="00504084"/>
    <w:rsid w:val="00505147"/>
    <w:rsid w:val="00560A0B"/>
    <w:rsid w:val="00561941"/>
    <w:rsid w:val="00566A09"/>
    <w:rsid w:val="00580AF9"/>
    <w:rsid w:val="00582884"/>
    <w:rsid w:val="005D57A7"/>
    <w:rsid w:val="005F49D5"/>
    <w:rsid w:val="005F6717"/>
    <w:rsid w:val="00601702"/>
    <w:rsid w:val="0064684C"/>
    <w:rsid w:val="00647E53"/>
    <w:rsid w:val="006677AE"/>
    <w:rsid w:val="006B0602"/>
    <w:rsid w:val="0074578D"/>
    <w:rsid w:val="0075228D"/>
    <w:rsid w:val="00756F6C"/>
    <w:rsid w:val="007831F4"/>
    <w:rsid w:val="00795182"/>
    <w:rsid w:val="007D1E54"/>
    <w:rsid w:val="007D2395"/>
    <w:rsid w:val="007F6366"/>
    <w:rsid w:val="00806E06"/>
    <w:rsid w:val="00810C3A"/>
    <w:rsid w:val="00827BA1"/>
    <w:rsid w:val="0084316F"/>
    <w:rsid w:val="00851863"/>
    <w:rsid w:val="00895ACD"/>
    <w:rsid w:val="008E4409"/>
    <w:rsid w:val="008F5613"/>
    <w:rsid w:val="009138CE"/>
    <w:rsid w:val="009249B5"/>
    <w:rsid w:val="009310E6"/>
    <w:rsid w:val="00932A27"/>
    <w:rsid w:val="009402CD"/>
    <w:rsid w:val="00964D46"/>
    <w:rsid w:val="00974F18"/>
    <w:rsid w:val="00984B93"/>
    <w:rsid w:val="00984DDC"/>
    <w:rsid w:val="00991610"/>
    <w:rsid w:val="00A2159F"/>
    <w:rsid w:val="00A47994"/>
    <w:rsid w:val="00AA4131"/>
    <w:rsid w:val="00AD3351"/>
    <w:rsid w:val="00B468F7"/>
    <w:rsid w:val="00B80148"/>
    <w:rsid w:val="00B8203E"/>
    <w:rsid w:val="00BC02A0"/>
    <w:rsid w:val="00BC10DB"/>
    <w:rsid w:val="00BD455F"/>
    <w:rsid w:val="00BE3B2F"/>
    <w:rsid w:val="00BF58B3"/>
    <w:rsid w:val="00C35C2C"/>
    <w:rsid w:val="00C860B5"/>
    <w:rsid w:val="00C94E1B"/>
    <w:rsid w:val="00CD22A6"/>
    <w:rsid w:val="00CD47F6"/>
    <w:rsid w:val="00CE7FD2"/>
    <w:rsid w:val="00D03E06"/>
    <w:rsid w:val="00D2003E"/>
    <w:rsid w:val="00D37940"/>
    <w:rsid w:val="00D43250"/>
    <w:rsid w:val="00D977F1"/>
    <w:rsid w:val="00DD0F91"/>
    <w:rsid w:val="00DE5724"/>
    <w:rsid w:val="00E3455D"/>
    <w:rsid w:val="00E35365"/>
    <w:rsid w:val="00E42471"/>
    <w:rsid w:val="00E6333B"/>
    <w:rsid w:val="00E639BC"/>
    <w:rsid w:val="00E77BF7"/>
    <w:rsid w:val="00E81B03"/>
    <w:rsid w:val="00E85841"/>
    <w:rsid w:val="00EF24F6"/>
    <w:rsid w:val="00EF4847"/>
    <w:rsid w:val="00F05F43"/>
    <w:rsid w:val="00F07948"/>
    <w:rsid w:val="00F14554"/>
    <w:rsid w:val="00F50E04"/>
    <w:rsid w:val="00F73F3A"/>
    <w:rsid w:val="00F7741B"/>
    <w:rsid w:val="00FD4E8A"/>
    <w:rsid w:val="00FE0158"/>
    <w:rsid w:val="00FF0F29"/>
    <w:rsid w:val="00FF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2F0C93"/>
  <w15:docId w15:val="{71019FF4-B4A7-4D52-B878-680F2DC09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07948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link w:val="Nagwek3Znak"/>
    <w:uiPriority w:val="9"/>
    <w:qFormat/>
    <w:locked/>
    <w:rsid w:val="00CD47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locked/>
    <w:rsid w:val="00C860B5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CD22A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F3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3C7D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4F3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3C7D"/>
    <w:rPr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3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3C7D"/>
    <w:rPr>
      <w:rFonts w:ascii="Tahoma" w:hAnsi="Tahoma" w:cs="Tahoma"/>
      <w:sz w:val="16"/>
      <w:szCs w:val="1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CD47F6"/>
    <w:rPr>
      <w:rFonts w:ascii="Times New Roman" w:eastAsia="Times New Roman" w:hAnsi="Times New Roman"/>
      <w:b/>
      <w:bCs/>
      <w:sz w:val="27"/>
      <w:szCs w:val="27"/>
    </w:rPr>
  </w:style>
  <w:style w:type="character" w:styleId="Hipercze">
    <w:name w:val="Hyperlink"/>
    <w:basedOn w:val="Domylnaczcionkaakapitu"/>
    <w:uiPriority w:val="99"/>
    <w:semiHidden/>
    <w:unhideWhenUsed/>
    <w:rsid w:val="00CD47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26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6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0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2043</Words>
  <Characters>12264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RPD PT RPO WZ 2014-2020  –  Metodyka rozliczania kosztów</vt:lpstr>
    </vt:vector>
  </TitlesOfParts>
  <Company/>
  <LinksUpToDate>false</LinksUpToDate>
  <CharactersWithSpaces>14279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RPD PT RPO WZ 2014-2020  –  Metodyka rozliczania kosztów</dc:title>
  <dc:creator>Ola</dc:creator>
  <cp:lastModifiedBy>Aleksandra Gopek</cp:lastModifiedBy>
  <cp:revision>3</cp:revision>
  <cp:lastPrinted>2018-06-26T10:03:00Z</cp:lastPrinted>
  <dcterms:created xsi:type="dcterms:W3CDTF">2019-06-14T08:13:00Z</dcterms:created>
  <dcterms:modified xsi:type="dcterms:W3CDTF">2019-06-14T08:13:00Z</dcterms:modified>
</cp:coreProperties>
</file>