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90" w:rsidRPr="00EA0E8C" w:rsidRDefault="00E73A90" w:rsidP="00CD0D07">
      <w:pPr>
        <w:jc w:val="right"/>
        <w:rPr>
          <w:rFonts w:ascii="Myriad Pro" w:hAnsi="Myriad Pro"/>
          <w:i/>
          <w:iCs/>
          <w:sz w:val="16"/>
          <w:szCs w:val="16"/>
        </w:rPr>
      </w:pPr>
    </w:p>
    <w:p w:rsidR="0009186C" w:rsidRPr="008F37AF" w:rsidRDefault="00720FBA" w:rsidP="00E73A90">
      <w:pPr>
        <w:jc w:val="right"/>
        <w:rPr>
          <w:rFonts w:ascii="Myriad Pro" w:hAnsi="Myriad Pro"/>
          <w:i/>
          <w:iCs/>
          <w:sz w:val="16"/>
          <w:szCs w:val="16"/>
        </w:rPr>
      </w:pPr>
      <w:r w:rsidRPr="008F37AF">
        <w:rPr>
          <w:rFonts w:ascii="Myriad Pro" w:hAnsi="Myriad Pro"/>
          <w:i/>
          <w:iCs/>
          <w:sz w:val="16"/>
          <w:szCs w:val="16"/>
        </w:rPr>
        <w:t xml:space="preserve">Załącznik nr </w:t>
      </w:r>
      <w:r w:rsidR="00336666">
        <w:rPr>
          <w:rFonts w:ascii="Myriad Pro" w:hAnsi="Myriad Pro"/>
          <w:i/>
          <w:iCs/>
          <w:sz w:val="16"/>
          <w:szCs w:val="16"/>
        </w:rPr>
        <w:t xml:space="preserve">3 </w:t>
      </w:r>
      <w:r w:rsidR="0028572C" w:rsidRPr="008F37AF">
        <w:rPr>
          <w:rFonts w:ascii="Myriad Pro" w:hAnsi="Myriad Pro"/>
          <w:i/>
          <w:iCs/>
          <w:sz w:val="16"/>
          <w:szCs w:val="16"/>
        </w:rPr>
        <w:t xml:space="preserve">do </w:t>
      </w:r>
      <w:r w:rsidR="00473754">
        <w:rPr>
          <w:rFonts w:ascii="Myriad Pro" w:hAnsi="Myriad Pro"/>
          <w:i/>
          <w:iCs/>
          <w:sz w:val="16"/>
          <w:szCs w:val="16"/>
        </w:rPr>
        <w:t xml:space="preserve">ogłoszenia </w:t>
      </w:r>
    </w:p>
    <w:p w:rsidR="005F6D6A" w:rsidRPr="008F37AF" w:rsidRDefault="005F6D6A" w:rsidP="00B70C25">
      <w:pPr>
        <w:jc w:val="right"/>
        <w:rPr>
          <w:rFonts w:ascii="Myriad Pro" w:hAnsi="Myriad Pro"/>
          <w:sz w:val="18"/>
          <w:szCs w:val="18"/>
        </w:rPr>
      </w:pPr>
    </w:p>
    <w:p w:rsidR="005F6D6A" w:rsidRPr="008F37AF" w:rsidRDefault="005F6D6A" w:rsidP="00B70C25">
      <w:pPr>
        <w:jc w:val="right"/>
        <w:rPr>
          <w:rFonts w:ascii="Myriad Pro" w:hAnsi="Myriad Pro"/>
          <w:sz w:val="18"/>
          <w:szCs w:val="18"/>
        </w:rPr>
      </w:pPr>
    </w:p>
    <w:p w:rsidR="00075995" w:rsidRPr="008472EF" w:rsidRDefault="00705793" w:rsidP="00075995">
      <w:pPr>
        <w:jc w:val="center"/>
        <w:rPr>
          <w:rFonts w:ascii="Myriad Pro" w:hAnsi="Myriad Pro" w:cs="Arial"/>
        </w:rPr>
      </w:pPr>
      <w:r w:rsidRPr="008472EF">
        <w:rPr>
          <w:rFonts w:ascii="Myriad Pro" w:hAnsi="Myriad Pro" w:cs="Arial"/>
        </w:rPr>
        <w:t xml:space="preserve">Kryteria oceny ofert </w:t>
      </w:r>
    </w:p>
    <w:p w:rsidR="005F6D6A" w:rsidRPr="008F37AF" w:rsidRDefault="005F6D6A" w:rsidP="00075995">
      <w:pPr>
        <w:jc w:val="center"/>
        <w:rPr>
          <w:rFonts w:ascii="Myriad Pro" w:hAnsi="Myriad Pro" w:cs="Arial"/>
          <w:b/>
        </w:rPr>
      </w:pPr>
    </w:p>
    <w:p w:rsidR="00075995" w:rsidRPr="008F37AF" w:rsidRDefault="00075995" w:rsidP="00075995">
      <w:pPr>
        <w:jc w:val="center"/>
        <w:rPr>
          <w:rFonts w:ascii="Myriad Pro" w:hAnsi="Myriad Pro" w:cs="Arial"/>
          <w:b/>
          <w:sz w:val="22"/>
          <w:szCs w:val="22"/>
        </w:rPr>
      </w:pPr>
    </w:p>
    <w:p w:rsidR="005F6D6A" w:rsidRPr="008F37AF" w:rsidRDefault="005F6D6A" w:rsidP="00D725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color w:val="000000"/>
          <w:sz w:val="22"/>
          <w:szCs w:val="22"/>
        </w:rPr>
      </w:pPr>
      <w:r w:rsidRPr="008F37AF">
        <w:rPr>
          <w:rFonts w:ascii="Myriad Pro" w:hAnsi="Myriad Pro" w:cs="Arial"/>
          <w:b/>
          <w:color w:val="000000"/>
          <w:sz w:val="22"/>
          <w:szCs w:val="22"/>
        </w:rPr>
        <w:t>Kryteria oceny ofert:</w:t>
      </w: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tbl>
      <w:tblPr>
        <w:tblW w:w="9850" w:type="dxa"/>
        <w:tblLook w:val="01E0"/>
      </w:tblPr>
      <w:tblGrid>
        <w:gridCol w:w="5701"/>
        <w:gridCol w:w="4149"/>
      </w:tblGrid>
      <w:tr w:rsidR="005F6D6A" w:rsidRPr="008F37AF" w:rsidTr="005F6D6A">
        <w:trPr>
          <w:trHeight w:val="533"/>
        </w:trPr>
        <w:tc>
          <w:tcPr>
            <w:tcW w:w="5701" w:type="dxa"/>
            <w:vAlign w:val="center"/>
          </w:tcPr>
          <w:p w:rsidR="005F6D6A" w:rsidRPr="008F37AF" w:rsidRDefault="005F6D6A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4149" w:type="dxa"/>
            <w:vAlign w:val="center"/>
          </w:tcPr>
          <w:p w:rsidR="005F6D6A" w:rsidRPr="008F37AF" w:rsidRDefault="005F6D6A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Waga (%)</w:t>
            </w:r>
          </w:p>
        </w:tc>
      </w:tr>
      <w:tr w:rsidR="005F6D6A" w:rsidRPr="008F37AF" w:rsidTr="005F6D6A">
        <w:trPr>
          <w:trHeight w:val="552"/>
        </w:trPr>
        <w:tc>
          <w:tcPr>
            <w:tcW w:w="5701" w:type="dxa"/>
            <w:vAlign w:val="center"/>
          </w:tcPr>
          <w:p w:rsidR="005F6D6A" w:rsidRPr="008F37AF" w:rsidRDefault="005F6D6A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Cena ofertowa</w:t>
            </w:r>
          </w:p>
        </w:tc>
        <w:tc>
          <w:tcPr>
            <w:tcW w:w="4149" w:type="dxa"/>
            <w:vAlign w:val="center"/>
          </w:tcPr>
          <w:p w:rsidR="005F6D6A" w:rsidRPr="008F37AF" w:rsidRDefault="0032382E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35</w:t>
            </w:r>
            <w:r w:rsidR="000F4203"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%</w:t>
            </w:r>
          </w:p>
        </w:tc>
      </w:tr>
      <w:tr w:rsidR="005F6D6A" w:rsidRPr="008F37AF" w:rsidTr="005F6D6A">
        <w:trPr>
          <w:trHeight w:val="552"/>
        </w:trPr>
        <w:tc>
          <w:tcPr>
            <w:tcW w:w="5701" w:type="dxa"/>
            <w:vAlign w:val="center"/>
          </w:tcPr>
          <w:p w:rsidR="005F6D6A" w:rsidRPr="008F37AF" w:rsidRDefault="00BB782C" w:rsidP="005F6D6A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Metodyka</w:t>
            </w:r>
            <w:r w:rsidR="005F6D6A"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 badania:</w:t>
            </w:r>
          </w:p>
        </w:tc>
        <w:tc>
          <w:tcPr>
            <w:tcW w:w="4149" w:type="dxa"/>
            <w:vAlign w:val="center"/>
          </w:tcPr>
          <w:p w:rsidR="005F6D6A" w:rsidRPr="008F37AF" w:rsidRDefault="00BC089D" w:rsidP="0032382E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Myriad Pro" w:hAnsi="Myriad Pro" w:cs="Arial"/>
                <w:color w:val="000000"/>
                <w:sz w:val="20"/>
                <w:szCs w:val="20"/>
              </w:rPr>
            </w:pPr>
            <w:r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6</w:t>
            </w:r>
            <w:r w:rsidR="0032382E">
              <w:rPr>
                <w:rFonts w:ascii="Myriad Pro" w:hAnsi="Myriad Pro" w:cs="Arial"/>
                <w:color w:val="000000"/>
                <w:sz w:val="20"/>
                <w:szCs w:val="20"/>
              </w:rPr>
              <w:t>5</w:t>
            </w:r>
            <w:r w:rsidR="000F4203" w:rsidRPr="008F37AF">
              <w:rPr>
                <w:rFonts w:ascii="Myriad Pro" w:hAnsi="Myriad Pro" w:cs="Arial"/>
                <w:color w:val="000000"/>
                <w:sz w:val="20"/>
                <w:szCs w:val="20"/>
              </w:rPr>
              <w:t>%</w:t>
            </w:r>
          </w:p>
        </w:tc>
      </w:tr>
    </w:tbl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5F6D6A" w:rsidRPr="008F37AF" w:rsidRDefault="005F6D6A" w:rsidP="00D725A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Sposób oceny ofert </w:t>
      </w: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>Zamawiający dokona oceny ofert na podstawie wyniku osiągniętej liczby punktów przyznanych przez każdego dokonującego oceny członka komisji przetargowej w oparciu o następujące kryteria i ustaloną punktację do 100 (100 % = 100 pkt):</w:t>
      </w: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Punkty za kryterium </w:t>
      </w:r>
      <w:r w:rsidRPr="008F37AF">
        <w:rPr>
          <w:rFonts w:ascii="Myriad Pro" w:hAnsi="Myriad Pro" w:cs="Arial"/>
          <w:b/>
          <w:color w:val="000000"/>
          <w:sz w:val="20"/>
          <w:szCs w:val="20"/>
        </w:rPr>
        <w:t>„cena”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 zostaną obliczone wg następującego wzoru:</w:t>
      </w:r>
      <w:r w:rsidRPr="008F37AF">
        <w:rPr>
          <w:rFonts w:ascii="Myriad Pro" w:hAnsi="Myriad Pro" w:cs="Arial"/>
          <w:color w:val="000000"/>
          <w:sz w:val="20"/>
          <w:szCs w:val="20"/>
        </w:rPr>
        <w:br/>
      </w:r>
    </w:p>
    <w:p w:rsidR="005F6D6A" w:rsidRPr="008F37AF" w:rsidRDefault="00BC089D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       </w:t>
      </w:r>
      <w:proofErr w:type="spellStart"/>
      <w:r w:rsidRPr="008F37AF">
        <w:rPr>
          <w:rFonts w:ascii="Myriad Pro" w:hAnsi="Myriad Pro" w:cs="Arial"/>
          <w:color w:val="000000"/>
          <w:sz w:val="20"/>
          <w:szCs w:val="20"/>
        </w:rPr>
        <w:t>ln</w:t>
      </w:r>
      <w:proofErr w:type="spellEnd"/>
      <w:r w:rsidRPr="008F37AF">
        <w:rPr>
          <w:rFonts w:ascii="Myriad Pro" w:hAnsi="Myriad Pro" w:cs="Arial"/>
          <w:color w:val="000000"/>
          <w:sz w:val="20"/>
          <w:szCs w:val="20"/>
        </w:rPr>
        <w:t xml:space="preserve"> (1+(</w:t>
      </w:r>
      <w:proofErr w:type="spellStart"/>
      <w:r w:rsidR="00F076A9" w:rsidRPr="008F37AF">
        <w:rPr>
          <w:rFonts w:ascii="Myriad Pro" w:hAnsi="Myriad Pro" w:cs="Arial"/>
          <w:color w:val="000000"/>
          <w:sz w:val="20"/>
          <w:szCs w:val="20"/>
        </w:rPr>
        <w:t>C</w:t>
      </w:r>
      <w:r w:rsidR="00F076A9"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max</w:t>
      </w:r>
      <w:proofErr w:type="spellEnd"/>
      <w:r w:rsidR="00F076A9"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 </w:t>
      </w:r>
      <w:r w:rsidRPr="008F37AF">
        <w:rPr>
          <w:rFonts w:ascii="Myriad Pro" w:hAnsi="Myriad Pro" w:cs="Arial"/>
          <w:color w:val="000000"/>
          <w:sz w:val="20"/>
          <w:szCs w:val="20"/>
        </w:rPr>
        <w:t>– 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o</w:t>
      </w:r>
      <w:r w:rsidRPr="008F37AF">
        <w:rPr>
          <w:rFonts w:ascii="Myriad Pro" w:hAnsi="Myriad Pro" w:cs="Arial"/>
          <w:color w:val="000000"/>
          <w:sz w:val="20"/>
          <w:szCs w:val="20"/>
        </w:rPr>
        <w:t>))</w:t>
      </w:r>
    </w:p>
    <w:p w:rsidR="00F076A9" w:rsidRPr="008F37AF" w:rsidRDefault="00BC089D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C = 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>-------</w:t>
      </w:r>
      <w:r w:rsidR="00F076A9" w:rsidRPr="008F37AF">
        <w:rPr>
          <w:rFonts w:ascii="Myriad Pro" w:hAnsi="Myriad Pro" w:cs="Arial"/>
          <w:color w:val="000000"/>
          <w:sz w:val="20"/>
          <w:szCs w:val="20"/>
        </w:rPr>
        <w:t xml:space="preserve">----------------------------- 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x </w:t>
      </w:r>
      <w:r w:rsidR="00F076A9" w:rsidRPr="008F37AF">
        <w:rPr>
          <w:rFonts w:ascii="Myriad Pro" w:hAnsi="Myriad Pro" w:cs="Arial"/>
          <w:color w:val="000000"/>
          <w:sz w:val="20"/>
          <w:szCs w:val="20"/>
        </w:rPr>
        <w:t xml:space="preserve">100 pkt </w:t>
      </w:r>
    </w:p>
    <w:p w:rsidR="00BC089D" w:rsidRPr="008F37AF" w:rsidRDefault="00BC089D" w:rsidP="00BC089D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      </w:t>
      </w:r>
      <w:proofErr w:type="spellStart"/>
      <w:r w:rsidRPr="008F37AF">
        <w:rPr>
          <w:rFonts w:ascii="Myriad Pro" w:hAnsi="Myriad Pro" w:cs="Arial"/>
          <w:color w:val="000000"/>
          <w:sz w:val="20"/>
          <w:szCs w:val="20"/>
        </w:rPr>
        <w:t>ln</w:t>
      </w:r>
      <w:proofErr w:type="spellEnd"/>
      <w:r w:rsidRPr="008F37AF">
        <w:rPr>
          <w:rFonts w:ascii="Myriad Pro" w:hAnsi="Myriad Pro" w:cs="Arial"/>
          <w:color w:val="000000"/>
          <w:sz w:val="20"/>
          <w:szCs w:val="20"/>
        </w:rPr>
        <w:t xml:space="preserve"> (1+(</w:t>
      </w:r>
      <w:proofErr w:type="spellStart"/>
      <w:r w:rsidR="00F076A9" w:rsidRPr="008F37AF">
        <w:rPr>
          <w:rFonts w:ascii="Myriad Pro" w:hAnsi="Myriad Pro" w:cs="Arial"/>
          <w:color w:val="000000"/>
          <w:sz w:val="20"/>
          <w:szCs w:val="20"/>
        </w:rPr>
        <w:t>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max</w:t>
      </w:r>
      <w:proofErr w:type="spellEnd"/>
      <w:r w:rsidRPr="008F37AF">
        <w:rPr>
          <w:rFonts w:ascii="Myriad Pro" w:hAnsi="Myriad Pro" w:cs="Arial"/>
          <w:color w:val="000000"/>
          <w:sz w:val="20"/>
          <w:szCs w:val="20"/>
        </w:rPr>
        <w:t xml:space="preserve"> – </w:t>
      </w:r>
      <w:proofErr w:type="spellStart"/>
      <w:r w:rsidRPr="008F37AF">
        <w:rPr>
          <w:rFonts w:ascii="Myriad Pro" w:hAnsi="Myriad Pro" w:cs="Arial"/>
          <w:color w:val="000000"/>
          <w:sz w:val="20"/>
          <w:szCs w:val="20"/>
        </w:rPr>
        <w:t>C</w:t>
      </w:r>
      <w:r w:rsidR="00F076A9"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min</w:t>
      </w:r>
      <w:proofErr w:type="spellEnd"/>
      <w:r w:rsidRPr="008F37AF">
        <w:rPr>
          <w:rFonts w:ascii="Myriad Pro" w:hAnsi="Myriad Pro" w:cs="Arial"/>
          <w:color w:val="000000"/>
          <w:sz w:val="20"/>
          <w:szCs w:val="20"/>
        </w:rPr>
        <w:t>))</w:t>
      </w:r>
    </w:p>
    <w:p w:rsidR="00F076A9" w:rsidRPr="008F37AF" w:rsidRDefault="00F076A9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gdzie: </w:t>
      </w:r>
      <w:proofErr w:type="spellStart"/>
      <w:r w:rsidRPr="008F37AF">
        <w:rPr>
          <w:rFonts w:ascii="Myriad Pro" w:hAnsi="Myriad Pro" w:cs="Arial"/>
          <w:color w:val="000000"/>
          <w:sz w:val="20"/>
          <w:szCs w:val="20"/>
        </w:rPr>
        <w:t>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max</w:t>
      </w:r>
      <w:proofErr w:type="spellEnd"/>
      <w:r w:rsidR="004579A4"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 </w:t>
      </w:r>
      <w:r w:rsidR="004579A4" w:rsidRPr="008F37AF">
        <w:rPr>
          <w:rFonts w:ascii="Myriad Pro" w:hAnsi="Myriad Pro" w:cs="Arial"/>
          <w:color w:val="000000"/>
          <w:sz w:val="20"/>
          <w:szCs w:val="20"/>
        </w:rPr>
        <w:t xml:space="preserve">– </w:t>
      </w:r>
      <w:r w:rsidRPr="008F37AF">
        <w:rPr>
          <w:rFonts w:ascii="Myriad Pro" w:hAnsi="Myriad Pro" w:cs="Arial"/>
          <w:color w:val="000000"/>
          <w:sz w:val="20"/>
          <w:szCs w:val="20"/>
        </w:rPr>
        <w:t>najwyższa akceptowalna cena brutto</w:t>
      </w:r>
      <w:r w:rsidRPr="008F37AF">
        <w:rPr>
          <w:rFonts w:ascii="Myriad Pro" w:hAnsi="Myriad Pro" w:cs="Arial"/>
          <w:color w:val="000000"/>
          <w:sz w:val="20"/>
          <w:szCs w:val="20"/>
          <w:vertAlign w:val="superscript"/>
        </w:rPr>
        <w:t>1</w:t>
      </w:r>
    </w:p>
    <w:p w:rsidR="005F6D6A" w:rsidRPr="008F37AF" w:rsidRDefault="00F076A9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  <w:vertAlign w:val="superscript"/>
        </w:rPr>
        <w:t xml:space="preserve">                 </w:t>
      </w:r>
      <w:proofErr w:type="spellStart"/>
      <w:r w:rsidRPr="008F37AF">
        <w:rPr>
          <w:rFonts w:ascii="Myriad Pro" w:hAnsi="Myriad Pro" w:cs="Arial"/>
          <w:color w:val="000000"/>
          <w:sz w:val="20"/>
          <w:szCs w:val="20"/>
        </w:rPr>
        <w:t>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min</w:t>
      </w:r>
      <w:proofErr w:type="spellEnd"/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– </w:t>
      </w:r>
      <w:r w:rsidR="004579A4" w:rsidRPr="008F37AF">
        <w:rPr>
          <w:rFonts w:ascii="Myriad Pro" w:hAnsi="Myriad Pro" w:cs="Arial"/>
          <w:color w:val="000000"/>
          <w:sz w:val="20"/>
          <w:szCs w:val="20"/>
        </w:rPr>
        <w:t>3</w:t>
      </w:r>
      <w:r w:rsidRPr="008F37AF">
        <w:rPr>
          <w:rFonts w:ascii="Myriad Pro" w:hAnsi="Myriad Pro" w:cs="Arial"/>
          <w:color w:val="000000"/>
          <w:sz w:val="20"/>
          <w:szCs w:val="20"/>
        </w:rPr>
        <w:t>0% najwy</w:t>
      </w:r>
      <w:r w:rsidR="004579A4" w:rsidRPr="008F37AF">
        <w:rPr>
          <w:rFonts w:ascii="Myriad Pro" w:hAnsi="Myriad Pro" w:cs="Arial"/>
          <w:color w:val="000000"/>
          <w:sz w:val="20"/>
          <w:szCs w:val="20"/>
        </w:rPr>
        <w:t>ższej akceptowalnej ceny brutto</w:t>
      </w:r>
      <w:r w:rsidR="004579A4" w:rsidRPr="008F37AF">
        <w:rPr>
          <w:rFonts w:ascii="Myriad Pro" w:hAnsi="Myriad Pro" w:cs="Arial"/>
          <w:color w:val="000000"/>
          <w:sz w:val="20"/>
          <w:szCs w:val="20"/>
          <w:vertAlign w:val="superscript"/>
        </w:rPr>
        <w:t>2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5F6D6A" w:rsidRPr="008F37AF" w:rsidRDefault="004579A4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           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o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– cena brutto oferty ocenianej </w:t>
      </w:r>
    </w:p>
    <w:p w:rsidR="004579A4" w:rsidRPr="008F37AF" w:rsidRDefault="004579A4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  <w:vertAlign w:val="superscript"/>
        </w:rPr>
        <w:t xml:space="preserve">1 </w:t>
      </w:r>
      <w:r w:rsidR="00C26E5A" w:rsidRPr="008F37AF">
        <w:rPr>
          <w:rFonts w:ascii="Myriad Pro" w:hAnsi="Myriad Pro" w:cs="Arial"/>
          <w:color w:val="000000"/>
          <w:sz w:val="20"/>
          <w:szCs w:val="20"/>
        </w:rPr>
        <w:t>U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waga! </w:t>
      </w:r>
      <w:proofErr w:type="spellStart"/>
      <w:r w:rsidRPr="008F37AF">
        <w:rPr>
          <w:rFonts w:ascii="Myriad Pro" w:hAnsi="Myriad Pro" w:cs="Arial"/>
          <w:color w:val="000000"/>
          <w:sz w:val="20"/>
          <w:szCs w:val="20"/>
        </w:rPr>
        <w:t>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max</w:t>
      </w:r>
      <w:proofErr w:type="spellEnd"/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 xml:space="preserve"> </w:t>
      </w:r>
      <w:r w:rsidRPr="008F37AF">
        <w:rPr>
          <w:rFonts w:ascii="Myriad Pro" w:hAnsi="Myriad Pro" w:cs="Arial"/>
          <w:color w:val="000000"/>
          <w:sz w:val="20"/>
          <w:szCs w:val="20"/>
        </w:rPr>
        <w:t>jest kwotą jaką Zamawiający może przeznaczyć na sfinansowanie zamówienia i wynosi ona 1</w:t>
      </w:r>
      <w:r w:rsidR="00BB782C" w:rsidRPr="008F37AF">
        <w:rPr>
          <w:rFonts w:ascii="Myriad Pro" w:hAnsi="Myriad Pro" w:cs="Arial"/>
          <w:color w:val="000000"/>
          <w:sz w:val="20"/>
          <w:szCs w:val="20"/>
        </w:rPr>
        <w:t>0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0 000 złotych (kwota brutto bez uzupełniających). Oferta z ceną brutto przekraczającą tę kwotę zostanie odrzucona. </w:t>
      </w:r>
    </w:p>
    <w:p w:rsidR="004579A4" w:rsidRPr="008F37AF" w:rsidRDefault="00C26E5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  <w:vertAlign w:val="superscript"/>
        </w:rPr>
        <w:t xml:space="preserve">2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Uwaga! W przypadku, gdy wpłynie oferta z ceną poniżej </w:t>
      </w:r>
      <w:proofErr w:type="spellStart"/>
      <w:r w:rsidRPr="008F37AF">
        <w:rPr>
          <w:rFonts w:ascii="Myriad Pro" w:hAnsi="Myriad Pro" w:cs="Arial"/>
          <w:color w:val="000000"/>
          <w:sz w:val="20"/>
          <w:szCs w:val="20"/>
        </w:rPr>
        <w:t>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min</w:t>
      </w:r>
      <w:proofErr w:type="spellEnd"/>
      <w:r w:rsidRPr="008F37AF">
        <w:rPr>
          <w:rFonts w:ascii="Myriad Pro" w:hAnsi="Myriad Pro" w:cs="Arial"/>
          <w:color w:val="000000"/>
          <w:sz w:val="20"/>
          <w:szCs w:val="20"/>
        </w:rPr>
        <w:t xml:space="preserve">, Zamawiający wezwie Wykonawcę do wykazania, że nie jest to cena rażąco niska. Jeżeli Wykonawca udowodni, że zaoferowana przez niego cena nie jest rażąco niska, najniższa z zaoferowanych cen zostanie podstawiona do wzoru jako </w:t>
      </w:r>
      <w:proofErr w:type="spellStart"/>
      <w:r w:rsidRPr="008F37AF">
        <w:rPr>
          <w:rFonts w:ascii="Myriad Pro" w:hAnsi="Myriad Pro" w:cs="Arial"/>
          <w:color w:val="000000"/>
          <w:sz w:val="20"/>
          <w:szCs w:val="20"/>
        </w:rPr>
        <w:t>C</w:t>
      </w:r>
      <w:r w:rsidRPr="008F37AF">
        <w:rPr>
          <w:rFonts w:ascii="Myriad Pro" w:hAnsi="Myriad Pro" w:cs="Arial"/>
          <w:color w:val="000000"/>
          <w:sz w:val="20"/>
          <w:szCs w:val="20"/>
          <w:vertAlign w:val="subscript"/>
        </w:rPr>
        <w:t>min</w:t>
      </w:r>
      <w:proofErr w:type="spellEnd"/>
      <w:r w:rsidRPr="008F37AF">
        <w:rPr>
          <w:rFonts w:ascii="Myriad Pro" w:hAnsi="Myriad Pro" w:cs="Arial"/>
          <w:color w:val="000000"/>
          <w:sz w:val="20"/>
          <w:szCs w:val="20"/>
        </w:rPr>
        <w:t>.</w:t>
      </w:r>
    </w:p>
    <w:p w:rsidR="005F6D6A" w:rsidRPr="008F37AF" w:rsidRDefault="005F6D6A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5F6D6A" w:rsidRPr="008F37AF" w:rsidRDefault="000F4203" w:rsidP="005F6D6A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>Z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a kryterium 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>„</w:t>
      </w:r>
      <w:r w:rsidR="00BB782C" w:rsidRPr="008F37AF">
        <w:rPr>
          <w:rFonts w:ascii="Myriad Pro" w:hAnsi="Myriad Pro" w:cs="Arial"/>
          <w:b/>
          <w:color w:val="000000"/>
          <w:sz w:val="20"/>
          <w:szCs w:val="20"/>
        </w:rPr>
        <w:t>metodyka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 xml:space="preserve"> badania”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można otrzymać maksymalnie </w:t>
      </w:r>
      <w:r w:rsidR="00C03DE5">
        <w:rPr>
          <w:rFonts w:ascii="Myriad Pro" w:hAnsi="Myriad Pro" w:cs="Arial"/>
          <w:color w:val="000000"/>
          <w:sz w:val="20"/>
          <w:szCs w:val="20"/>
        </w:rPr>
        <w:t>6</w:t>
      </w:r>
      <w:r w:rsidR="0032382E">
        <w:rPr>
          <w:rFonts w:ascii="Myriad Pro" w:hAnsi="Myriad Pro" w:cs="Arial"/>
          <w:color w:val="000000"/>
          <w:sz w:val="20"/>
          <w:szCs w:val="20"/>
        </w:rPr>
        <w:t>5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 punktów. 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W ocenie pod uwagę będą brane następujące </w:t>
      </w:r>
      <w:proofErr w:type="spellStart"/>
      <w:r w:rsidR="00D40BFD" w:rsidRPr="008F37AF">
        <w:rPr>
          <w:rFonts w:ascii="Myriad Pro" w:hAnsi="Myriad Pro" w:cs="Arial"/>
          <w:color w:val="000000"/>
          <w:sz w:val="20"/>
          <w:szCs w:val="20"/>
        </w:rPr>
        <w:t>podkryteria</w:t>
      </w:r>
      <w:proofErr w:type="spellEnd"/>
      <w:r w:rsidR="005F6D6A" w:rsidRPr="008F37AF">
        <w:rPr>
          <w:rFonts w:ascii="Myriad Pro" w:hAnsi="Myriad Pro" w:cs="Arial"/>
          <w:color w:val="000000"/>
          <w:sz w:val="20"/>
          <w:szCs w:val="20"/>
        </w:rPr>
        <w:t>:</w:t>
      </w:r>
    </w:p>
    <w:p w:rsidR="007172BB" w:rsidRDefault="009A6E8B" w:rsidP="009A6E8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9A6E8B">
        <w:rPr>
          <w:rFonts w:ascii="Myriad Pro" w:hAnsi="Myriad Pro" w:cs="Arial"/>
          <w:color w:val="000000"/>
          <w:sz w:val="20"/>
          <w:szCs w:val="20"/>
        </w:rPr>
        <w:t xml:space="preserve">spójność koncepcji badania – czy wykonawca przejrzyście wskazał sposób, w jaki poszczególne elementy badania łączą się ze sobą umożliwiając realizację celów i zakresu badania – </w:t>
      </w:r>
      <w:r w:rsidRPr="009A6E8B">
        <w:rPr>
          <w:rFonts w:ascii="Myriad Pro" w:hAnsi="Myriad Pro" w:cs="Arial"/>
          <w:b/>
          <w:color w:val="000000"/>
          <w:sz w:val="20"/>
          <w:szCs w:val="20"/>
        </w:rPr>
        <w:t>max 1</w:t>
      </w:r>
      <w:r w:rsidR="00C03DE5">
        <w:rPr>
          <w:rFonts w:ascii="Myriad Pro" w:hAnsi="Myriad Pro" w:cs="Arial"/>
          <w:b/>
          <w:color w:val="000000"/>
          <w:sz w:val="20"/>
          <w:szCs w:val="20"/>
        </w:rPr>
        <w:t>5</w:t>
      </w:r>
      <w:r w:rsidRPr="009A6E8B">
        <w:rPr>
          <w:rFonts w:ascii="Myriad Pro" w:hAnsi="Myriad Pro" w:cs="Arial"/>
          <w:b/>
          <w:color w:val="000000"/>
          <w:sz w:val="20"/>
          <w:szCs w:val="20"/>
        </w:rPr>
        <w:t xml:space="preserve"> pkt</w:t>
      </w:r>
      <w:r w:rsidRPr="009A6E8B">
        <w:rPr>
          <w:rFonts w:ascii="Myriad Pro" w:hAnsi="Myriad Pro" w:cs="Arial"/>
          <w:color w:val="000000"/>
          <w:sz w:val="20"/>
          <w:szCs w:val="20"/>
        </w:rPr>
        <w:t xml:space="preserve">;  </w:t>
      </w:r>
    </w:p>
    <w:p w:rsidR="005F6D6A" w:rsidRPr="008E7E39" w:rsidRDefault="00BB782C" w:rsidP="00D725A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trafność  zaproponowanych metod i technik badawczych w kontekście realizacji celu badania, pozyskania rzetelnego </w:t>
      </w:r>
      <w:r w:rsidR="008E7E39">
        <w:rPr>
          <w:rFonts w:ascii="Myriad Pro" w:hAnsi="Myriad Pro" w:cs="Arial"/>
          <w:color w:val="000000"/>
          <w:sz w:val="20"/>
          <w:szCs w:val="20"/>
        </w:rPr>
        <w:t>(umożliwiającego dokonywanie analiz ilościowych i jakościowych)</w:t>
      </w:r>
      <w:r w:rsidR="008E7E39" w:rsidRPr="008F37A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Pr="008F37AF">
        <w:rPr>
          <w:rFonts w:ascii="Myriad Pro" w:hAnsi="Myriad Pro" w:cs="Arial"/>
          <w:color w:val="000000"/>
          <w:sz w:val="20"/>
          <w:szCs w:val="20"/>
        </w:rPr>
        <w:t>materiału badawczego</w:t>
      </w:r>
      <w:r w:rsidR="00E7141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Pr="008F37AF">
        <w:rPr>
          <w:rFonts w:ascii="Myriad Pro" w:hAnsi="Myriad Pro" w:cs="Arial"/>
          <w:color w:val="000000"/>
          <w:sz w:val="20"/>
          <w:szCs w:val="20"/>
        </w:rPr>
        <w:t>i udzielenia odpowiedzi na postawione pytania ewaluacyjne</w:t>
      </w:r>
      <w:r w:rsidR="005F6D6A" w:rsidRPr="008F37AF">
        <w:rPr>
          <w:rFonts w:ascii="Myriad Pro" w:hAnsi="Myriad Pro" w:cs="Arial"/>
          <w:color w:val="000000"/>
          <w:sz w:val="20"/>
          <w:szCs w:val="20"/>
        </w:rPr>
        <w:t xml:space="preserve">– </w:t>
      </w:r>
      <w:r w:rsidR="000F4203" w:rsidRPr="008F37AF">
        <w:rPr>
          <w:rFonts w:ascii="Myriad Pro" w:hAnsi="Myriad Pro" w:cs="Arial"/>
          <w:b/>
          <w:color w:val="000000"/>
          <w:sz w:val="20"/>
          <w:szCs w:val="20"/>
        </w:rPr>
        <w:t>max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="008E7E39">
        <w:rPr>
          <w:rFonts w:ascii="Myriad Pro" w:hAnsi="Myriad Pro" w:cs="Arial"/>
          <w:b/>
          <w:color w:val="000000"/>
          <w:sz w:val="20"/>
          <w:szCs w:val="20"/>
        </w:rPr>
        <w:t>15</w:t>
      </w:r>
      <w:r w:rsidR="00D67D3F" w:rsidRPr="008F37AF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="005F6D6A" w:rsidRPr="008F37AF">
        <w:rPr>
          <w:rFonts w:ascii="Myriad Pro" w:hAnsi="Myriad Pro" w:cs="Arial"/>
          <w:b/>
          <w:color w:val="000000"/>
          <w:sz w:val="20"/>
          <w:szCs w:val="20"/>
        </w:rPr>
        <w:t>pkt</w:t>
      </w:r>
      <w:r w:rsidRPr="008F37AF">
        <w:rPr>
          <w:rFonts w:ascii="Myriad Pro" w:hAnsi="Myriad Pro" w:cs="Arial"/>
          <w:b/>
          <w:color w:val="000000"/>
          <w:sz w:val="20"/>
          <w:szCs w:val="20"/>
        </w:rPr>
        <w:t>.;</w:t>
      </w:r>
    </w:p>
    <w:p w:rsidR="008E7E39" w:rsidRPr="008E7E39" w:rsidRDefault="008E7E39" w:rsidP="008E7E39">
      <w:pPr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E7E39">
        <w:rPr>
          <w:rFonts w:ascii="Myriad Pro" w:hAnsi="Myriad Pro" w:cs="Arial"/>
          <w:color w:val="000000"/>
          <w:sz w:val="20"/>
          <w:szCs w:val="20"/>
        </w:rPr>
        <w:lastRenderedPageBreak/>
        <w:t xml:space="preserve">trafność projektów narzędzi badawczych (kwestionariuszy, ankiet) uwzględniających specyfikę badania oraz specyfikę grupy badawczej – </w:t>
      </w:r>
      <w:r w:rsidRPr="008E7E39">
        <w:rPr>
          <w:rFonts w:ascii="Myriad Pro" w:hAnsi="Myriad Pro" w:cs="Arial"/>
          <w:b/>
          <w:color w:val="000000"/>
          <w:sz w:val="20"/>
          <w:szCs w:val="20"/>
        </w:rPr>
        <w:t>max 10 pkt</w:t>
      </w:r>
      <w:r w:rsidRPr="008E7E39">
        <w:rPr>
          <w:rFonts w:ascii="Myriad Pro" w:hAnsi="Myriad Pro" w:cs="Arial"/>
          <w:color w:val="000000"/>
          <w:sz w:val="20"/>
          <w:szCs w:val="20"/>
        </w:rPr>
        <w:t>. Zaproponowane projekty narzędzi badawczych muszą się odnosić do celów i zakresu badania. Podczas oceny będzie brana pod uwagę trafność i zasadność pytań postawionych w zaproponowanych narzędziach badawczych. Ocena nie będzie uzależniona od liczby postawionych pytań, lecz od ich zasadności i trafności.</w:t>
      </w:r>
    </w:p>
    <w:p w:rsidR="00D456E7" w:rsidRDefault="00D456E7" w:rsidP="00D725A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trafność dodatkowych pytań badawczych uwzględniających specyfikę badania oraz specyfikę grupy badawczej – </w:t>
      </w:r>
      <w:r w:rsidRPr="008F37AF">
        <w:rPr>
          <w:rFonts w:ascii="Myriad Pro" w:hAnsi="Myriad Pro" w:cs="Arial"/>
          <w:b/>
          <w:color w:val="000000"/>
          <w:sz w:val="20"/>
          <w:szCs w:val="20"/>
        </w:rPr>
        <w:t xml:space="preserve">max </w:t>
      </w:r>
      <w:r w:rsidR="0032382E">
        <w:rPr>
          <w:rFonts w:ascii="Myriad Pro" w:hAnsi="Myriad Pro" w:cs="Arial"/>
          <w:b/>
          <w:color w:val="000000"/>
          <w:sz w:val="20"/>
          <w:szCs w:val="20"/>
        </w:rPr>
        <w:t>10</w:t>
      </w:r>
      <w:r w:rsidRPr="008F37AF">
        <w:rPr>
          <w:rFonts w:ascii="Myriad Pro" w:hAnsi="Myriad Pro" w:cs="Arial"/>
          <w:b/>
          <w:color w:val="000000"/>
          <w:sz w:val="20"/>
          <w:szCs w:val="20"/>
        </w:rPr>
        <w:t xml:space="preserve"> pkt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. Dodane pytania muszą się odnosić do celów i zakresu badania, a także muszą zostać uzasadnione przez Wykonawcę. 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>Pytania powinny pogłębiać</w:t>
      </w:r>
      <w:r w:rsidR="0093061B" w:rsidRPr="008F37AF">
        <w:rPr>
          <w:rFonts w:ascii="Myriad Pro" w:hAnsi="Myriad Pro" w:cs="Arial"/>
          <w:color w:val="000000"/>
          <w:sz w:val="20"/>
          <w:szCs w:val="20"/>
        </w:rPr>
        <w:t xml:space="preserve"> zakres badania tzn. 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 xml:space="preserve"> wprowadzać </w:t>
      </w:r>
      <w:r w:rsidR="001A7FC1" w:rsidRPr="008F37AF">
        <w:rPr>
          <w:rFonts w:ascii="Myriad Pro" w:hAnsi="Myriad Pro"/>
          <w:sz w:val="20"/>
          <w:szCs w:val="20"/>
        </w:rPr>
        <w:t>nowe zagadnienia</w:t>
      </w:r>
      <w:r w:rsidR="0093061B" w:rsidRPr="008F37AF">
        <w:rPr>
          <w:rFonts w:ascii="Myriad Pro" w:hAnsi="Myriad Pro"/>
          <w:sz w:val="20"/>
          <w:szCs w:val="20"/>
        </w:rPr>
        <w:t>, pogłębiające</w:t>
      </w:r>
      <w:r w:rsidR="001A7FC1" w:rsidRPr="008F37AF">
        <w:rPr>
          <w:rFonts w:ascii="Myriad Pro" w:hAnsi="Myriad Pro"/>
          <w:sz w:val="20"/>
          <w:szCs w:val="20"/>
        </w:rPr>
        <w:t xml:space="preserve"> przedmiot badania, które</w:t>
      </w:r>
      <w:r w:rsidR="0093061B" w:rsidRPr="008F37AF">
        <w:rPr>
          <w:rFonts w:ascii="Myriad Pro" w:hAnsi="Myriad Pro"/>
          <w:sz w:val="20"/>
          <w:szCs w:val="20"/>
        </w:rPr>
        <w:t xml:space="preserve"> nie zostały ujęte przez Zamawiającego i </w:t>
      </w:r>
      <w:r w:rsidR="001A7FC1" w:rsidRPr="008F37AF">
        <w:rPr>
          <w:rFonts w:ascii="Myriad Pro" w:hAnsi="Myriad Pro"/>
          <w:sz w:val="20"/>
          <w:szCs w:val="20"/>
        </w:rPr>
        <w:t xml:space="preserve">będą adekwatne do celów badania będącego przedmiotem zamówienia oraz </w:t>
      </w:r>
      <w:r w:rsidR="0093061B" w:rsidRPr="008F37AF">
        <w:rPr>
          <w:rFonts w:ascii="Myriad Pro" w:hAnsi="Myriad Pro"/>
          <w:sz w:val="20"/>
          <w:szCs w:val="20"/>
        </w:rPr>
        <w:t xml:space="preserve">będą </w:t>
      </w:r>
      <w:r w:rsidR="001A7FC1" w:rsidRPr="008F37AF">
        <w:rPr>
          <w:rFonts w:ascii="Myriad Pro" w:hAnsi="Myriad Pro"/>
          <w:sz w:val="20"/>
          <w:szCs w:val="20"/>
        </w:rPr>
        <w:t>istotne z punktu widzenia użyteczności wyników.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Pr="008F37AF">
        <w:rPr>
          <w:rFonts w:ascii="Myriad Pro" w:hAnsi="Myriad Pro" w:cs="Arial"/>
          <w:color w:val="000000"/>
          <w:sz w:val="20"/>
          <w:szCs w:val="20"/>
        </w:rPr>
        <w:t>Nie zostaną uznane pytania, które będą powtórzeniem</w:t>
      </w:r>
      <w:r w:rsidR="00423455" w:rsidRPr="008F37AF">
        <w:rPr>
          <w:rFonts w:ascii="Myriad Pro" w:hAnsi="Myriad Pro" w:cs="Arial"/>
          <w:color w:val="000000"/>
          <w:sz w:val="20"/>
          <w:szCs w:val="20"/>
        </w:rPr>
        <w:t>,</w:t>
      </w:r>
      <w:r w:rsidR="005077E7" w:rsidRPr="008F37A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423455" w:rsidRPr="008F37AF">
        <w:rPr>
          <w:rFonts w:ascii="Myriad Pro" w:hAnsi="Myriad Pro" w:cs="Arial"/>
          <w:color w:val="000000"/>
          <w:sz w:val="20"/>
          <w:szCs w:val="20"/>
        </w:rPr>
        <w:t xml:space="preserve">nieznacznym </w:t>
      </w:r>
      <w:r w:rsidR="005077E7" w:rsidRPr="008F37AF">
        <w:rPr>
          <w:rFonts w:ascii="Myriad Pro" w:hAnsi="Myriad Pro" w:cs="Arial"/>
          <w:color w:val="000000"/>
          <w:sz w:val="20"/>
          <w:szCs w:val="20"/>
        </w:rPr>
        <w:t>rozszerzeniem</w:t>
      </w:r>
      <w:r w:rsidR="00423455" w:rsidRPr="008F37AF">
        <w:rPr>
          <w:rFonts w:ascii="Myriad Pro" w:hAnsi="Myriad Pro" w:cs="Arial"/>
          <w:color w:val="000000"/>
          <w:sz w:val="20"/>
          <w:szCs w:val="20"/>
        </w:rPr>
        <w:t xml:space="preserve"> lub powieleniem kontekstu </w:t>
      </w:r>
      <w:r w:rsidRPr="008F37AF">
        <w:rPr>
          <w:rFonts w:ascii="Myriad Pro" w:hAnsi="Myriad Pro" w:cs="Arial"/>
          <w:color w:val="000000"/>
          <w:sz w:val="20"/>
          <w:szCs w:val="20"/>
        </w:rPr>
        <w:t>pytań postawionych przez Zamawiającego</w:t>
      </w:r>
      <w:r w:rsidR="00423455" w:rsidRPr="008F37AF">
        <w:rPr>
          <w:rFonts w:ascii="Myriad Pro" w:hAnsi="Myriad Pro" w:cs="Arial"/>
          <w:color w:val="000000"/>
          <w:sz w:val="20"/>
          <w:szCs w:val="20"/>
        </w:rPr>
        <w:t xml:space="preserve"> (odnośnie treści pytania, konstrukcji, zapisu)</w:t>
      </w:r>
      <w:r w:rsidR="005077E7" w:rsidRPr="008F37AF">
        <w:rPr>
          <w:rFonts w:ascii="Myriad Pro" w:hAnsi="Myriad Pro" w:cs="Arial"/>
          <w:color w:val="000000"/>
          <w:sz w:val="20"/>
          <w:szCs w:val="20"/>
        </w:rPr>
        <w:t>.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 Podczas oceny będzie brana pod uwagę trafność dodanych pytań. Ocena </w:t>
      </w:r>
      <w:r w:rsidRPr="008F37AF">
        <w:rPr>
          <w:rFonts w:ascii="Myriad Pro" w:hAnsi="Myriad Pro" w:cs="Arial"/>
          <w:b/>
          <w:color w:val="000000"/>
          <w:sz w:val="20"/>
          <w:szCs w:val="20"/>
        </w:rPr>
        <w:t>nie będzie uzależniona od liczby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 dodatkowych pytań, lecz od ich zasadności i trafności.</w:t>
      </w:r>
      <w:r w:rsidR="007172BB">
        <w:rPr>
          <w:rFonts w:ascii="Myriad Pro" w:hAnsi="Myriad Pro" w:cs="Arial"/>
          <w:color w:val="000000"/>
          <w:sz w:val="20"/>
          <w:szCs w:val="20"/>
        </w:rPr>
        <w:t>;</w:t>
      </w:r>
    </w:p>
    <w:p w:rsidR="007172BB" w:rsidRPr="007172BB" w:rsidRDefault="007172BB" w:rsidP="007172BB">
      <w:pPr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>
        <w:rPr>
          <w:rFonts w:ascii="Myriad Pro" w:hAnsi="Myriad Pro" w:cs="Arial"/>
          <w:color w:val="000000"/>
          <w:sz w:val="20"/>
          <w:szCs w:val="20"/>
        </w:rPr>
        <w:t xml:space="preserve">sposób </w:t>
      </w:r>
      <w:r w:rsidRPr="007172BB">
        <w:rPr>
          <w:rFonts w:ascii="Myriad Pro" w:hAnsi="Myriad Pro" w:cs="Arial"/>
          <w:color w:val="000000"/>
          <w:sz w:val="20"/>
          <w:szCs w:val="20"/>
        </w:rPr>
        <w:t>dob</w:t>
      </w:r>
      <w:r>
        <w:rPr>
          <w:rFonts w:ascii="Myriad Pro" w:hAnsi="Myriad Pro" w:cs="Arial"/>
          <w:color w:val="000000"/>
          <w:sz w:val="20"/>
          <w:szCs w:val="20"/>
        </w:rPr>
        <w:t xml:space="preserve">oru </w:t>
      </w:r>
      <w:r w:rsidRPr="007172BB">
        <w:rPr>
          <w:rFonts w:ascii="Myriad Pro" w:hAnsi="Myriad Pro" w:cs="Arial"/>
          <w:color w:val="000000"/>
          <w:sz w:val="20"/>
          <w:szCs w:val="20"/>
        </w:rPr>
        <w:t>próby badawczej gwarantującej dotarcie do respondentów kluczowych z punktu widzenia celu i zakresu badania</w:t>
      </w:r>
      <w:r>
        <w:rPr>
          <w:rFonts w:ascii="Myriad Pro" w:hAnsi="Myriad Pro" w:cs="Arial"/>
          <w:color w:val="000000"/>
          <w:sz w:val="20"/>
          <w:szCs w:val="20"/>
        </w:rPr>
        <w:t xml:space="preserve"> oraz zaproponowanej metodyki badawczej. Sposób doboru próby musi zostać uzasadniony przez Wykonawcę</w:t>
      </w:r>
      <w:r w:rsidRPr="007172BB">
        <w:rPr>
          <w:rFonts w:ascii="Myriad Pro" w:hAnsi="Myriad Pro" w:cs="Arial"/>
          <w:color w:val="000000"/>
          <w:sz w:val="20"/>
          <w:szCs w:val="20"/>
        </w:rPr>
        <w:t xml:space="preserve"> – </w:t>
      </w:r>
      <w:r w:rsidRPr="007172BB">
        <w:rPr>
          <w:rFonts w:ascii="Myriad Pro" w:hAnsi="Myriad Pro" w:cs="Arial"/>
          <w:b/>
          <w:color w:val="000000"/>
          <w:sz w:val="20"/>
          <w:szCs w:val="20"/>
        </w:rPr>
        <w:t xml:space="preserve">max </w:t>
      </w:r>
      <w:r w:rsidR="0032382E">
        <w:rPr>
          <w:rFonts w:ascii="Myriad Pro" w:hAnsi="Myriad Pro" w:cs="Arial"/>
          <w:b/>
          <w:color w:val="000000"/>
          <w:sz w:val="20"/>
          <w:szCs w:val="20"/>
        </w:rPr>
        <w:t>10</w:t>
      </w:r>
      <w:r w:rsidRPr="007172BB">
        <w:rPr>
          <w:rFonts w:ascii="Myriad Pro" w:hAnsi="Myriad Pro" w:cs="Arial"/>
          <w:b/>
          <w:color w:val="000000"/>
          <w:sz w:val="20"/>
          <w:szCs w:val="20"/>
        </w:rPr>
        <w:t xml:space="preserve"> pkt</w:t>
      </w:r>
      <w:r>
        <w:rPr>
          <w:rFonts w:ascii="Myriad Pro" w:hAnsi="Myriad Pro" w:cs="Arial"/>
          <w:b/>
          <w:color w:val="000000"/>
          <w:sz w:val="20"/>
          <w:szCs w:val="20"/>
        </w:rPr>
        <w:t>.</w:t>
      </w:r>
      <w:r w:rsidRPr="007172BB">
        <w:rPr>
          <w:rFonts w:ascii="Myriad Pro" w:hAnsi="Myriad Pro" w:cs="Arial"/>
          <w:color w:val="000000"/>
          <w:sz w:val="20"/>
          <w:szCs w:val="20"/>
        </w:rPr>
        <w:t xml:space="preserve">; </w:t>
      </w:r>
    </w:p>
    <w:p w:rsidR="008F4078" w:rsidRPr="008F4078" w:rsidRDefault="008F4078" w:rsidP="008F4078">
      <w:pPr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4078">
        <w:rPr>
          <w:rFonts w:ascii="Myriad Pro" w:hAnsi="Myriad Pro" w:cs="Arial"/>
          <w:color w:val="000000"/>
          <w:sz w:val="20"/>
          <w:szCs w:val="20"/>
        </w:rPr>
        <w:t>trafność zidentyfikowania potencjalnych obszarów ryzyka mogących wystąpić w trakcie realizacji badania i środka/-ów go minimalizującego/-</w:t>
      </w:r>
      <w:proofErr w:type="spellStart"/>
      <w:r w:rsidRPr="008F4078">
        <w:rPr>
          <w:rFonts w:ascii="Myriad Pro" w:hAnsi="Myriad Pro" w:cs="Arial"/>
          <w:color w:val="000000"/>
          <w:sz w:val="20"/>
          <w:szCs w:val="20"/>
        </w:rPr>
        <w:t>ych</w:t>
      </w:r>
      <w:proofErr w:type="spellEnd"/>
      <w:r w:rsidRPr="008F4078">
        <w:rPr>
          <w:rFonts w:ascii="Myriad Pro" w:hAnsi="Myriad Pro" w:cs="Arial"/>
          <w:color w:val="000000"/>
          <w:sz w:val="20"/>
          <w:szCs w:val="20"/>
        </w:rPr>
        <w:t xml:space="preserve"> w kontekście celów i zakresu badania oraz wpływających na poprawę rzetelności i precyzji badania – do 1 pkt za każdy obszar ryzyka, łącznie </w:t>
      </w:r>
      <w:r w:rsidRPr="008F4078">
        <w:rPr>
          <w:rFonts w:ascii="Myriad Pro" w:hAnsi="Myriad Pro" w:cs="Arial"/>
          <w:b/>
          <w:color w:val="000000"/>
          <w:sz w:val="20"/>
          <w:szCs w:val="20"/>
        </w:rPr>
        <w:t>max 5 pkt</w:t>
      </w:r>
      <w:r w:rsidRPr="008F4078">
        <w:rPr>
          <w:rFonts w:ascii="Myriad Pro" w:hAnsi="Myriad Pro" w:cs="Arial"/>
          <w:color w:val="000000"/>
          <w:sz w:val="20"/>
          <w:szCs w:val="20"/>
        </w:rPr>
        <w:t xml:space="preserve">. </w:t>
      </w:r>
      <w:bookmarkStart w:id="0" w:name="_GoBack"/>
      <w:bookmarkEnd w:id="0"/>
      <w:r w:rsidRPr="008F4078">
        <w:rPr>
          <w:rFonts w:ascii="Myriad Pro" w:hAnsi="Myriad Pro" w:cs="Arial"/>
          <w:color w:val="000000"/>
          <w:sz w:val="20"/>
          <w:szCs w:val="20"/>
        </w:rPr>
        <w:t xml:space="preserve">Ocenie będzie podlegać pierwsze 5 obszarów ryzyka wskazanych przez Wykonawcę.  </w:t>
      </w:r>
    </w:p>
    <w:p w:rsidR="00D40BFD" w:rsidRPr="008F37AF" w:rsidRDefault="00D40BFD" w:rsidP="008F4078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8F37AF">
        <w:rPr>
          <w:rFonts w:ascii="Myriad Pro" w:hAnsi="Myriad Pro" w:cs="Arial"/>
          <w:color w:val="000000"/>
          <w:sz w:val="20"/>
          <w:szCs w:val="20"/>
        </w:rPr>
        <w:t xml:space="preserve">W każdym z </w:t>
      </w:r>
      <w:proofErr w:type="spellStart"/>
      <w:r w:rsidRPr="008F37AF">
        <w:rPr>
          <w:rFonts w:ascii="Myriad Pro" w:hAnsi="Myriad Pro" w:cs="Arial"/>
          <w:color w:val="000000"/>
          <w:sz w:val="20"/>
          <w:szCs w:val="20"/>
        </w:rPr>
        <w:t>podkryteriów</w:t>
      </w:r>
      <w:proofErr w:type="spellEnd"/>
      <w:r w:rsidRPr="008F37AF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0F4203" w:rsidRPr="008F37AF">
        <w:rPr>
          <w:rFonts w:ascii="Myriad Pro" w:hAnsi="Myriad Pro" w:cs="Arial"/>
          <w:color w:val="000000"/>
          <w:sz w:val="20"/>
          <w:szCs w:val="20"/>
        </w:rPr>
        <w:t xml:space="preserve">jakościowych </w:t>
      </w:r>
      <w:r w:rsidRPr="008F37AF">
        <w:rPr>
          <w:rFonts w:ascii="Myriad Pro" w:hAnsi="Myriad Pro" w:cs="Arial"/>
          <w:color w:val="000000"/>
          <w:sz w:val="20"/>
          <w:szCs w:val="20"/>
        </w:rPr>
        <w:t xml:space="preserve">oferta musi uzyskać 30% punktów możliwych do </w:t>
      </w:r>
      <w:r w:rsidR="00D456E7" w:rsidRPr="008F37AF">
        <w:rPr>
          <w:rFonts w:ascii="Myriad Pro" w:hAnsi="Myriad Pro" w:cs="Arial"/>
          <w:color w:val="000000"/>
          <w:sz w:val="20"/>
          <w:szCs w:val="20"/>
        </w:rPr>
        <w:t>otrzym</w:t>
      </w:r>
      <w:r w:rsidRPr="008F37AF">
        <w:rPr>
          <w:rFonts w:ascii="Myriad Pro" w:hAnsi="Myriad Pro" w:cs="Arial"/>
          <w:color w:val="000000"/>
          <w:sz w:val="20"/>
          <w:szCs w:val="20"/>
        </w:rPr>
        <w:t>ania. Jeśli oferta uzyska mniej niż 30% możliwych do otrzymania punktów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 xml:space="preserve"> w danym </w:t>
      </w:r>
      <w:proofErr w:type="spellStart"/>
      <w:r w:rsidR="00602457" w:rsidRPr="008F37AF">
        <w:rPr>
          <w:rFonts w:ascii="Myriad Pro" w:hAnsi="Myriad Pro" w:cs="Arial"/>
          <w:color w:val="000000"/>
          <w:sz w:val="20"/>
          <w:szCs w:val="20"/>
        </w:rPr>
        <w:t>pod</w:t>
      </w:r>
      <w:r w:rsidR="001A7FC1" w:rsidRPr="008F37AF">
        <w:rPr>
          <w:rFonts w:ascii="Myriad Pro" w:hAnsi="Myriad Pro" w:cs="Arial"/>
          <w:color w:val="000000"/>
          <w:sz w:val="20"/>
          <w:szCs w:val="20"/>
        </w:rPr>
        <w:t>kryterium</w:t>
      </w:r>
      <w:proofErr w:type="spellEnd"/>
      <w:r w:rsidRPr="008F37AF">
        <w:rPr>
          <w:rFonts w:ascii="Myriad Pro" w:hAnsi="Myriad Pro" w:cs="Arial"/>
          <w:color w:val="000000"/>
          <w:sz w:val="20"/>
          <w:szCs w:val="20"/>
        </w:rPr>
        <w:t xml:space="preserve">, zostanie odrzucona jako niespełniająca wymagań Zamawiającego.  </w:t>
      </w:r>
    </w:p>
    <w:p w:rsidR="005F6D6A" w:rsidRPr="008F37AF" w:rsidRDefault="005F6D6A" w:rsidP="00D725AC">
      <w:pPr>
        <w:numPr>
          <w:ilvl w:val="0"/>
          <w:numId w:val="3"/>
        </w:numPr>
        <w:tabs>
          <w:tab w:val="clear" w:pos="1068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8F37AF">
        <w:rPr>
          <w:rFonts w:ascii="Myriad Pro" w:hAnsi="Myriad Pro" w:cs="Arial"/>
          <w:sz w:val="20"/>
          <w:szCs w:val="20"/>
        </w:rPr>
        <w:t xml:space="preserve">Za najkorzystniejszą zostanie uznana oferta, która </w:t>
      </w:r>
      <w:r w:rsidR="00804FDD" w:rsidRPr="008F37AF">
        <w:rPr>
          <w:rFonts w:ascii="Myriad Pro" w:hAnsi="Myriad Pro" w:cs="Arial"/>
          <w:sz w:val="20"/>
          <w:szCs w:val="20"/>
        </w:rPr>
        <w:t xml:space="preserve">otrzyma </w:t>
      </w:r>
      <w:r w:rsidRPr="008F37AF">
        <w:rPr>
          <w:rFonts w:ascii="Myriad Pro" w:hAnsi="Myriad Pro" w:cs="Arial"/>
          <w:sz w:val="20"/>
          <w:szCs w:val="20"/>
        </w:rPr>
        <w:t xml:space="preserve">najwyższą </w:t>
      </w:r>
      <w:r w:rsidR="00804FDD" w:rsidRPr="008F37AF">
        <w:rPr>
          <w:rFonts w:ascii="Myriad Pro" w:hAnsi="Myriad Pro" w:cs="Arial"/>
          <w:sz w:val="20"/>
          <w:szCs w:val="20"/>
        </w:rPr>
        <w:t>punktację po zsumowaniu przemnożonych przez wagi punktów przyznanych ofercie w każdym z kryteriów</w:t>
      </w:r>
      <w:r w:rsidRPr="008F37AF">
        <w:rPr>
          <w:rFonts w:ascii="Myriad Pro" w:hAnsi="Myriad Pro" w:cs="Arial"/>
          <w:sz w:val="20"/>
          <w:szCs w:val="20"/>
        </w:rPr>
        <w:t>.</w:t>
      </w:r>
    </w:p>
    <w:p w:rsidR="008A0EC9" w:rsidRPr="008F37AF" w:rsidRDefault="008A0EC9" w:rsidP="00D725AC">
      <w:pPr>
        <w:numPr>
          <w:ilvl w:val="0"/>
          <w:numId w:val="3"/>
        </w:numPr>
        <w:tabs>
          <w:tab w:val="clear" w:pos="1068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8F37AF">
        <w:rPr>
          <w:rFonts w:ascii="Myriad Pro" w:hAnsi="Myriad Pro" w:cs="Arial"/>
          <w:sz w:val="20"/>
          <w:szCs w:val="20"/>
        </w:rPr>
        <w:t xml:space="preserve">W sytuacji, gdy Zamawiający nie będzie mógł dokonać wyboru oferty najkorzystniejszej ze względu na to, że dwie lub więcej ofert przedstawią taką samą liczbę punktów, Zamawiający spośród tych ofert wybiera ofertę z najwyższą liczbą punktów za </w:t>
      </w:r>
      <w:r w:rsidR="00602457" w:rsidRPr="008F37AF">
        <w:rPr>
          <w:rFonts w:ascii="Myriad Pro" w:hAnsi="Myriad Pro" w:cs="Arial"/>
          <w:sz w:val="20"/>
          <w:szCs w:val="20"/>
        </w:rPr>
        <w:t>metodykę</w:t>
      </w:r>
      <w:r w:rsidRPr="008F37AF">
        <w:rPr>
          <w:rFonts w:ascii="Myriad Pro" w:hAnsi="Myriad Pro" w:cs="Arial"/>
          <w:sz w:val="20"/>
          <w:szCs w:val="20"/>
        </w:rPr>
        <w:t xml:space="preserve"> badania, o ile wartość tej oferty mieści się w budżecie Zamawiającego. W sytuacji, gdy dwie lub więcej ofert przedstawiają największą liczbę punktów za</w:t>
      </w:r>
      <w:r w:rsidR="00602457" w:rsidRPr="008F37AF">
        <w:rPr>
          <w:rFonts w:ascii="Myriad Pro" w:hAnsi="Myriad Pro" w:cs="Arial"/>
          <w:sz w:val="20"/>
          <w:szCs w:val="20"/>
        </w:rPr>
        <w:t xml:space="preserve"> metodykę </w:t>
      </w:r>
      <w:r w:rsidRPr="008F37AF">
        <w:rPr>
          <w:rFonts w:ascii="Myriad Pro" w:hAnsi="Myriad Pro" w:cs="Arial"/>
          <w:sz w:val="20"/>
          <w:szCs w:val="20"/>
        </w:rPr>
        <w:t>badania, Zamawiający spośród tych ofert wybiera ofertę z niższą ceną.</w:t>
      </w:r>
    </w:p>
    <w:p w:rsidR="00075995" w:rsidRPr="00EA0E8C" w:rsidRDefault="00075995" w:rsidP="008A0EC9">
      <w:pPr>
        <w:pStyle w:val="Tekstpodstawowy"/>
        <w:tabs>
          <w:tab w:val="left" w:pos="-1276"/>
        </w:tabs>
        <w:spacing w:line="360" w:lineRule="auto"/>
        <w:rPr>
          <w:rFonts w:ascii="Myriad Pro" w:hAnsi="Myriad Pro"/>
          <w:sz w:val="20"/>
          <w:szCs w:val="20"/>
        </w:rPr>
      </w:pPr>
    </w:p>
    <w:sectPr w:rsidR="00075995" w:rsidRPr="00EA0E8C" w:rsidSect="00091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9F9" w:rsidRDefault="00EA39F9">
      <w:r>
        <w:separator/>
      </w:r>
    </w:p>
  </w:endnote>
  <w:endnote w:type="continuationSeparator" w:id="0">
    <w:p w:rsidR="00EA39F9" w:rsidRDefault="00EA3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92" w:rsidRDefault="000927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92" w:rsidRPr="006368DF" w:rsidRDefault="00092792" w:rsidP="00092792">
    <w:pPr>
      <w:jc w:val="center"/>
      <w:rPr>
        <w:rFonts w:ascii="Arial" w:hAnsi="Arial" w:cs="Arial"/>
        <w:sz w:val="14"/>
        <w:szCs w:val="14"/>
      </w:rPr>
    </w:pPr>
    <w:r w:rsidRPr="006368DF">
      <w:rPr>
        <w:rFonts w:ascii="Arial" w:hAnsi="Arial" w:cs="Arial"/>
        <w:sz w:val="14"/>
        <w:szCs w:val="14"/>
      </w:rPr>
      <w:t>Projekt finansowany przez Unię Europejską ze środków Europejskiego Funduszu Rozwoju Regionalnego w ramach Regionalnego Programu Operacyjnego Województwa Zachodniopomorskiego na lata 2007-2013</w:t>
    </w:r>
  </w:p>
  <w:p w:rsidR="00092792" w:rsidRPr="006368DF" w:rsidRDefault="00092792" w:rsidP="00092792">
    <w:pPr>
      <w:pStyle w:val="Stopka"/>
      <w:jc w:val="center"/>
      <w:rPr>
        <w:rFonts w:ascii="Arial" w:hAnsi="Arial" w:cs="Arial"/>
      </w:rPr>
    </w:pPr>
    <w:r w:rsidRPr="006368DF">
      <w:rPr>
        <w:rFonts w:ascii="Arial" w:hAnsi="Arial" w:cs="Arial"/>
        <w:sz w:val="14"/>
        <w:szCs w:val="14"/>
      </w:rPr>
      <w:t xml:space="preserve">Strona </w:t>
    </w:r>
    <w:r w:rsidR="009C3B87" w:rsidRPr="006368DF">
      <w:rPr>
        <w:rFonts w:ascii="Arial" w:hAnsi="Arial" w:cs="Arial"/>
        <w:b/>
        <w:sz w:val="14"/>
        <w:szCs w:val="14"/>
      </w:rPr>
      <w:fldChar w:fldCharType="begin"/>
    </w:r>
    <w:r w:rsidRPr="006368DF">
      <w:rPr>
        <w:rFonts w:ascii="Arial" w:hAnsi="Arial" w:cs="Arial"/>
        <w:b/>
        <w:sz w:val="14"/>
        <w:szCs w:val="14"/>
      </w:rPr>
      <w:instrText>PAGE  \* Arabic  \* MERGEFORMAT</w:instrText>
    </w:r>
    <w:r w:rsidR="009C3B87" w:rsidRPr="006368DF">
      <w:rPr>
        <w:rFonts w:ascii="Arial" w:hAnsi="Arial" w:cs="Arial"/>
        <w:b/>
        <w:sz w:val="14"/>
        <w:szCs w:val="14"/>
      </w:rPr>
      <w:fldChar w:fldCharType="separate"/>
    </w:r>
    <w:r w:rsidR="00464BC7">
      <w:rPr>
        <w:rFonts w:ascii="Arial" w:hAnsi="Arial" w:cs="Arial"/>
        <w:b/>
        <w:noProof/>
        <w:sz w:val="14"/>
        <w:szCs w:val="14"/>
      </w:rPr>
      <w:t>1</w:t>
    </w:r>
    <w:r w:rsidR="009C3B87" w:rsidRPr="006368DF">
      <w:rPr>
        <w:rFonts w:ascii="Arial" w:hAnsi="Arial" w:cs="Arial"/>
        <w:b/>
        <w:sz w:val="14"/>
        <w:szCs w:val="14"/>
      </w:rPr>
      <w:fldChar w:fldCharType="end"/>
    </w:r>
    <w:r w:rsidRPr="006368DF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464BC7" w:rsidRPr="00464BC7">
        <w:rPr>
          <w:rFonts w:ascii="Arial" w:hAnsi="Arial" w:cs="Arial"/>
          <w:b/>
          <w:noProof/>
          <w:sz w:val="14"/>
          <w:szCs w:val="14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92" w:rsidRDefault="000927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9F9" w:rsidRDefault="00EA39F9">
      <w:r>
        <w:separator/>
      </w:r>
    </w:p>
  </w:footnote>
  <w:footnote w:type="continuationSeparator" w:id="0">
    <w:p w:rsidR="00EA39F9" w:rsidRDefault="00EA39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92" w:rsidRDefault="0009279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68" w:rsidRDefault="00C03DE5">
    <w:pPr>
      <w:pStyle w:val="Nagwek"/>
    </w:pPr>
    <w:r>
      <w:rPr>
        <w:noProof/>
      </w:rPr>
      <w:drawing>
        <wp:inline distT="0" distB="0" distL="0" distR="0">
          <wp:extent cx="5749925" cy="636270"/>
          <wp:effectExtent l="19050" t="0" r="317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792" w:rsidRDefault="0009279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530"/>
    <w:multiLevelType w:val="hybridMultilevel"/>
    <w:tmpl w:val="FDCAE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4BAB"/>
    <w:multiLevelType w:val="hybridMultilevel"/>
    <w:tmpl w:val="6C72C4F6"/>
    <w:lvl w:ilvl="0" w:tplc="BE2ADC3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850BF"/>
    <w:multiLevelType w:val="hybridMultilevel"/>
    <w:tmpl w:val="9748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10224"/>
    <w:multiLevelType w:val="hybridMultilevel"/>
    <w:tmpl w:val="0242EA80"/>
    <w:lvl w:ilvl="0" w:tplc="B3EA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09186C"/>
    <w:rsid w:val="000100ED"/>
    <w:rsid w:val="0002517E"/>
    <w:rsid w:val="00026AB8"/>
    <w:rsid w:val="00075995"/>
    <w:rsid w:val="0009186C"/>
    <w:rsid w:val="00092792"/>
    <w:rsid w:val="00096C8D"/>
    <w:rsid w:val="00097849"/>
    <w:rsid w:val="000A3478"/>
    <w:rsid w:val="000A44A5"/>
    <w:rsid w:val="000C5730"/>
    <w:rsid w:val="000E6569"/>
    <w:rsid w:val="000F4203"/>
    <w:rsid w:val="001001BF"/>
    <w:rsid w:val="00112FD7"/>
    <w:rsid w:val="001627BF"/>
    <w:rsid w:val="00176BA9"/>
    <w:rsid w:val="0018294E"/>
    <w:rsid w:val="00194394"/>
    <w:rsid w:val="001A7FC1"/>
    <w:rsid w:val="001C6131"/>
    <w:rsid w:val="001E03C3"/>
    <w:rsid w:val="00200653"/>
    <w:rsid w:val="00211536"/>
    <w:rsid w:val="00214BE4"/>
    <w:rsid w:val="00216C9B"/>
    <w:rsid w:val="00256991"/>
    <w:rsid w:val="002713E0"/>
    <w:rsid w:val="00277F28"/>
    <w:rsid w:val="0028572C"/>
    <w:rsid w:val="00295859"/>
    <w:rsid w:val="002B263B"/>
    <w:rsid w:val="002B3E61"/>
    <w:rsid w:val="002C79D5"/>
    <w:rsid w:val="0030318D"/>
    <w:rsid w:val="003228EC"/>
    <w:rsid w:val="0032382E"/>
    <w:rsid w:val="003304EC"/>
    <w:rsid w:val="00336666"/>
    <w:rsid w:val="003841D6"/>
    <w:rsid w:val="0038574B"/>
    <w:rsid w:val="0039719A"/>
    <w:rsid w:val="003B479C"/>
    <w:rsid w:val="003B783C"/>
    <w:rsid w:val="00423455"/>
    <w:rsid w:val="00433AEB"/>
    <w:rsid w:val="00447367"/>
    <w:rsid w:val="004567DB"/>
    <w:rsid w:val="004579A4"/>
    <w:rsid w:val="00464BC7"/>
    <w:rsid w:val="00467F44"/>
    <w:rsid w:val="00473754"/>
    <w:rsid w:val="00476B8F"/>
    <w:rsid w:val="00477C2C"/>
    <w:rsid w:val="00490CDF"/>
    <w:rsid w:val="004B49F5"/>
    <w:rsid w:val="004C47AB"/>
    <w:rsid w:val="004E3BC5"/>
    <w:rsid w:val="005077E7"/>
    <w:rsid w:val="005609A7"/>
    <w:rsid w:val="005708B0"/>
    <w:rsid w:val="0059651A"/>
    <w:rsid w:val="005A769C"/>
    <w:rsid w:val="005B556A"/>
    <w:rsid w:val="005B7FFD"/>
    <w:rsid w:val="005C21E4"/>
    <w:rsid w:val="005E7FC1"/>
    <w:rsid w:val="005F6A98"/>
    <w:rsid w:val="005F6D6A"/>
    <w:rsid w:val="005F7D34"/>
    <w:rsid w:val="00600FF1"/>
    <w:rsid w:val="00602457"/>
    <w:rsid w:val="006368DF"/>
    <w:rsid w:val="00637048"/>
    <w:rsid w:val="006612CB"/>
    <w:rsid w:val="006723CA"/>
    <w:rsid w:val="00685B92"/>
    <w:rsid w:val="006A56C5"/>
    <w:rsid w:val="006D2318"/>
    <w:rsid w:val="006E1E36"/>
    <w:rsid w:val="006F2BB4"/>
    <w:rsid w:val="0070027B"/>
    <w:rsid w:val="007025AD"/>
    <w:rsid w:val="00705793"/>
    <w:rsid w:val="0070630A"/>
    <w:rsid w:val="007139FD"/>
    <w:rsid w:val="007172BB"/>
    <w:rsid w:val="00720FBA"/>
    <w:rsid w:val="00721BC2"/>
    <w:rsid w:val="007324B5"/>
    <w:rsid w:val="00741FF5"/>
    <w:rsid w:val="00770336"/>
    <w:rsid w:val="00775C67"/>
    <w:rsid w:val="007B2A25"/>
    <w:rsid w:val="007E14A2"/>
    <w:rsid w:val="00804FDD"/>
    <w:rsid w:val="008106E0"/>
    <w:rsid w:val="008406AD"/>
    <w:rsid w:val="008472EF"/>
    <w:rsid w:val="00880004"/>
    <w:rsid w:val="00893F01"/>
    <w:rsid w:val="008A0EC9"/>
    <w:rsid w:val="008B1294"/>
    <w:rsid w:val="008C5126"/>
    <w:rsid w:val="008D20DA"/>
    <w:rsid w:val="008E7E39"/>
    <w:rsid w:val="008F0070"/>
    <w:rsid w:val="008F0851"/>
    <w:rsid w:val="008F37AF"/>
    <w:rsid w:val="008F4078"/>
    <w:rsid w:val="0093061B"/>
    <w:rsid w:val="009341A5"/>
    <w:rsid w:val="00936624"/>
    <w:rsid w:val="00970EFE"/>
    <w:rsid w:val="00973408"/>
    <w:rsid w:val="00996814"/>
    <w:rsid w:val="009A6E8B"/>
    <w:rsid w:val="009B0926"/>
    <w:rsid w:val="009C1ADA"/>
    <w:rsid w:val="009C31E1"/>
    <w:rsid w:val="009C3B87"/>
    <w:rsid w:val="009D792D"/>
    <w:rsid w:val="009F781B"/>
    <w:rsid w:val="00A01B64"/>
    <w:rsid w:val="00A4566C"/>
    <w:rsid w:val="00AA13DD"/>
    <w:rsid w:val="00AA7D12"/>
    <w:rsid w:val="00AB0B8E"/>
    <w:rsid w:val="00AC7E4D"/>
    <w:rsid w:val="00AD1767"/>
    <w:rsid w:val="00AD4B7A"/>
    <w:rsid w:val="00AE04E9"/>
    <w:rsid w:val="00AE1427"/>
    <w:rsid w:val="00AF1FF7"/>
    <w:rsid w:val="00B04350"/>
    <w:rsid w:val="00B217FA"/>
    <w:rsid w:val="00B224F1"/>
    <w:rsid w:val="00B274D9"/>
    <w:rsid w:val="00B312F4"/>
    <w:rsid w:val="00B31A12"/>
    <w:rsid w:val="00B52FDB"/>
    <w:rsid w:val="00B628FE"/>
    <w:rsid w:val="00B70C25"/>
    <w:rsid w:val="00B85D2A"/>
    <w:rsid w:val="00BB782C"/>
    <w:rsid w:val="00BC089D"/>
    <w:rsid w:val="00BC13C7"/>
    <w:rsid w:val="00BF3768"/>
    <w:rsid w:val="00C03DE5"/>
    <w:rsid w:val="00C0721B"/>
    <w:rsid w:val="00C252CC"/>
    <w:rsid w:val="00C26E5A"/>
    <w:rsid w:val="00C331DA"/>
    <w:rsid w:val="00C4614F"/>
    <w:rsid w:val="00C55454"/>
    <w:rsid w:val="00C76515"/>
    <w:rsid w:val="00CB3976"/>
    <w:rsid w:val="00CC2EC7"/>
    <w:rsid w:val="00CC3C41"/>
    <w:rsid w:val="00CC698C"/>
    <w:rsid w:val="00CD036B"/>
    <w:rsid w:val="00CD0D07"/>
    <w:rsid w:val="00D00622"/>
    <w:rsid w:val="00D34A64"/>
    <w:rsid w:val="00D3682D"/>
    <w:rsid w:val="00D40BFD"/>
    <w:rsid w:val="00D456E7"/>
    <w:rsid w:val="00D57D7D"/>
    <w:rsid w:val="00D67D3F"/>
    <w:rsid w:val="00D7200C"/>
    <w:rsid w:val="00D725AC"/>
    <w:rsid w:val="00D73AF2"/>
    <w:rsid w:val="00D76ED0"/>
    <w:rsid w:val="00D83C50"/>
    <w:rsid w:val="00DD232A"/>
    <w:rsid w:val="00E10288"/>
    <w:rsid w:val="00E148D2"/>
    <w:rsid w:val="00E57699"/>
    <w:rsid w:val="00E579BA"/>
    <w:rsid w:val="00E65FE0"/>
    <w:rsid w:val="00E7141F"/>
    <w:rsid w:val="00E73A90"/>
    <w:rsid w:val="00E826EE"/>
    <w:rsid w:val="00EA0E8C"/>
    <w:rsid w:val="00EA39F9"/>
    <w:rsid w:val="00EA7FCF"/>
    <w:rsid w:val="00ED033B"/>
    <w:rsid w:val="00EF0BDD"/>
    <w:rsid w:val="00EF0C41"/>
    <w:rsid w:val="00EF277E"/>
    <w:rsid w:val="00F04F8E"/>
    <w:rsid w:val="00F076A9"/>
    <w:rsid w:val="00F223DB"/>
    <w:rsid w:val="00F262C1"/>
    <w:rsid w:val="00F3034B"/>
    <w:rsid w:val="00F341B3"/>
    <w:rsid w:val="00F427FD"/>
    <w:rsid w:val="00F42CC5"/>
    <w:rsid w:val="00F87F77"/>
    <w:rsid w:val="00F9221B"/>
    <w:rsid w:val="00F9476E"/>
    <w:rsid w:val="00F9708C"/>
    <w:rsid w:val="00F97556"/>
    <w:rsid w:val="00FA4765"/>
    <w:rsid w:val="00FF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18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reść"/>
    <w:basedOn w:val="Normalny"/>
    <w:link w:val="TekstpodstawowyZnak"/>
    <w:rsid w:val="0009186C"/>
    <w:pPr>
      <w:ind w:right="-142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aliases w:val="Treść Znak"/>
    <w:link w:val="Tekstpodstawowy"/>
    <w:rsid w:val="0009186C"/>
    <w:rPr>
      <w:rFonts w:ascii="Arial" w:hAnsi="Arial" w:cs="Arial"/>
      <w:sz w:val="22"/>
      <w:szCs w:val="22"/>
      <w:lang w:val="pl-PL" w:eastAsia="pl-PL" w:bidi="ar-SA"/>
    </w:rPr>
  </w:style>
  <w:style w:type="paragraph" w:styleId="Tekstdymka">
    <w:name w:val="Balloon Text"/>
    <w:basedOn w:val="Normalny"/>
    <w:semiHidden/>
    <w:rsid w:val="00F04F8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1001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001BF"/>
    <w:rPr>
      <w:sz w:val="20"/>
      <w:szCs w:val="20"/>
    </w:rPr>
  </w:style>
  <w:style w:type="paragraph" w:styleId="Nagwek">
    <w:name w:val="header"/>
    <w:basedOn w:val="Normalny"/>
    <w:rsid w:val="000759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7599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F1FF7"/>
    <w:rPr>
      <w:sz w:val="20"/>
      <w:szCs w:val="20"/>
    </w:rPr>
  </w:style>
  <w:style w:type="character" w:styleId="Odwoanieprzypisukocowego">
    <w:name w:val="endnote reference"/>
    <w:semiHidden/>
    <w:rsid w:val="00AF1FF7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4E3BC5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A4566C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TekstkomentarzaZnak">
    <w:name w:val="Tekst komentarza Znak"/>
    <w:link w:val="Tekstkomentarza"/>
    <w:semiHidden/>
    <w:rsid w:val="00A4566C"/>
    <w:rPr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077E7"/>
    <w:rPr>
      <w:rFonts w:ascii="Calibri" w:hAnsi="Calibri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D8C7B-4812-442D-99D3-5AC91113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626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………… w sprawie wszczęcia postępowania o udzielenie zamówienia publicznego prowadzonego w trybie dialogu konkurencyjnego o wartości poniżej 206 000 euro na wykonanie badania ewaluacyjnego „Ocena efektów wspierania środkami ZPORR</vt:lpstr>
    </vt:vector>
  </TitlesOfParts>
  <Company>Województwo Zachodniopomorskie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………… w sprawie wszczęcia postępowania o udzielenie zamówienia publicznego prowadzonego w trybie dialogu konkurencyjnego o wartości poniżej 206 000 euro na wykonanie badania ewaluacyjnego „Ocena efektów wspierania środkami ZPORR</dc:title>
  <dc:creator>Monika Lemke</dc:creator>
  <cp:lastModifiedBy>mlemke</cp:lastModifiedBy>
  <cp:revision>8</cp:revision>
  <cp:lastPrinted>2015-06-01T09:38:00Z</cp:lastPrinted>
  <dcterms:created xsi:type="dcterms:W3CDTF">2015-05-27T08:31:00Z</dcterms:created>
  <dcterms:modified xsi:type="dcterms:W3CDTF">2015-06-01T09:38:00Z</dcterms:modified>
</cp:coreProperties>
</file>