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44" w:rsidRDefault="00585C44" w:rsidP="00585C44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4</w:t>
      </w:r>
    </w:p>
    <w:p w:rsidR="00585C44" w:rsidRDefault="00585C44" w:rsidP="00585C44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do Uchwały Zarządu Województwa Zachodniopomorskiego Nr 1918/16  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  <w:t>z dnia 12 grudnia 2016 r.</w:t>
      </w:r>
    </w:p>
    <w:p w:rsidR="00585C44" w:rsidRDefault="00585C44" w:rsidP="00585C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5C44" w:rsidRDefault="00585C44" w:rsidP="00585C4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Kryteria  przyznawania nagrody rocznej kierownikowi  samodzielnego publicznego zakładu opieki zdrowotnej Samorządu Województwa Zachodniopomorskiego</w:t>
      </w:r>
    </w:p>
    <w:p w:rsidR="00585C44" w:rsidRDefault="00585C44" w:rsidP="00585C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działalności  jednostki na podstawie 4 wskaźników ekonomiczno-finansowych:</w:t>
      </w:r>
    </w:p>
    <w:p w:rsidR="00585C44" w:rsidRDefault="00585C44" w:rsidP="00585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wskaźnika zyskowności netto</w:t>
      </w:r>
    </w:p>
    <w:p w:rsidR="00585C44" w:rsidRDefault="00585C44" w:rsidP="00585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wskaźnika płynności bieżącej</w:t>
      </w:r>
    </w:p>
    <w:p w:rsidR="00585C44" w:rsidRDefault="00585C44" w:rsidP="00585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wskaźnika zadłużenia ogólnego</w:t>
      </w:r>
    </w:p>
    <w:p w:rsidR="00585C44" w:rsidRDefault="00585C44" w:rsidP="00585C4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wskaźnika rotacji zobowiązań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Wskaźnik zyskowności netto pokazuje, </w:t>
      </w:r>
      <w:r>
        <w:rPr>
          <w:rFonts w:ascii="Arial" w:hAnsi="Arial" w:cs="Arial"/>
          <w:sz w:val="20"/>
          <w:szCs w:val="20"/>
          <w:u w:val="single"/>
        </w:rPr>
        <w:t>czy jednostka się bilansuje</w:t>
      </w:r>
      <w:r>
        <w:rPr>
          <w:rFonts w:ascii="Arial" w:hAnsi="Arial" w:cs="Arial"/>
          <w:sz w:val="20"/>
          <w:szCs w:val="20"/>
        </w:rPr>
        <w:t>.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Wskaźnik płynności bieżącej informuje o </w:t>
      </w:r>
      <w:r>
        <w:rPr>
          <w:rFonts w:ascii="Arial" w:hAnsi="Arial" w:cs="Arial"/>
          <w:sz w:val="20"/>
          <w:szCs w:val="20"/>
          <w:u w:val="single"/>
        </w:rPr>
        <w:t>zdolności jednostki do terminowego regulowania zobowiązań.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Wskaźnik zadłużenia ogólnego informuje o </w:t>
      </w:r>
      <w:r>
        <w:rPr>
          <w:rFonts w:ascii="Arial" w:hAnsi="Arial" w:cs="Arial"/>
          <w:sz w:val="20"/>
          <w:szCs w:val="20"/>
          <w:u w:val="single"/>
        </w:rPr>
        <w:t>stopniu finansowania jednostki kapitałami obcymi (zobowiązaniami).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Wskaźnik rotacji zobowiązań informuje, </w:t>
      </w:r>
      <w:r>
        <w:rPr>
          <w:rFonts w:ascii="Arial" w:hAnsi="Arial" w:cs="Arial"/>
          <w:sz w:val="20"/>
          <w:szCs w:val="20"/>
          <w:u w:val="single"/>
        </w:rPr>
        <w:t>w jakim cyklu jednostka realizuje swoje zobowiązania wobec kontrahentów oraz jak zmienia się jej sytuacja płatnicza.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wskaźników (wszystkie dane dotyczą roku, za który ma być przyznana nagroda)</w:t>
      </w:r>
    </w:p>
    <w:p w:rsidR="00585C44" w:rsidRDefault="00585C44" w:rsidP="00585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Wynik netto x 100%</w:t>
      </w:r>
    </w:p>
    <w:p w:rsidR="00585C44" w:rsidRDefault="00585C44" w:rsidP="00585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 zyskowności netto =------------------------------</w:t>
      </w:r>
    </w:p>
    <w:p w:rsidR="00585C44" w:rsidRDefault="00585C44" w:rsidP="00585C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Przychody ogółem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Aktywa obrotowe</w:t>
      </w:r>
    </w:p>
    <w:p w:rsidR="00585C44" w:rsidRDefault="00585C44" w:rsidP="00585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 płynności bieżącej =-------------------------------------------</w:t>
      </w:r>
    </w:p>
    <w:p w:rsidR="00585C44" w:rsidRDefault="00585C44" w:rsidP="00585C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Zobowiązania krótkoterminowe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Zob. </w:t>
      </w:r>
      <w:proofErr w:type="spellStart"/>
      <w:r>
        <w:rPr>
          <w:rFonts w:ascii="Arial" w:hAnsi="Arial" w:cs="Arial"/>
          <w:sz w:val="20"/>
          <w:szCs w:val="20"/>
        </w:rPr>
        <w:t>długotermin</w:t>
      </w:r>
      <w:proofErr w:type="spellEnd"/>
      <w:r>
        <w:rPr>
          <w:rFonts w:ascii="Arial" w:hAnsi="Arial" w:cs="Arial"/>
          <w:sz w:val="20"/>
          <w:szCs w:val="20"/>
        </w:rPr>
        <w:t>. + zob. krótkoterminowe + rezerwy na zob. x 100%</w:t>
      </w:r>
    </w:p>
    <w:p w:rsidR="00585C44" w:rsidRDefault="00585C44" w:rsidP="00585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 ogólnego zadłużenia =-------------------------------------------------------------------------------------------------</w:t>
      </w:r>
    </w:p>
    <w:p w:rsidR="00585C44" w:rsidRDefault="00585C44" w:rsidP="00585C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Aktywa ogółem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Przeciętny stan zobowiązań z tyt. dostaw i usług x 365 dni</w:t>
      </w:r>
    </w:p>
    <w:p w:rsidR="00585C44" w:rsidRDefault="00585C44" w:rsidP="00585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 rotacji zobowiązań w dniach =---------------------------------------------------------------------------------</w:t>
      </w:r>
    </w:p>
    <w:p w:rsidR="00585C44" w:rsidRDefault="00585C44" w:rsidP="00585C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Przychody netto ze sprzedaży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Punktacja wskaźników</w:t>
      </w:r>
    </w:p>
    <w:tbl>
      <w:tblPr>
        <w:tblStyle w:val="Tabela-Siatka"/>
        <w:tblW w:w="9606" w:type="dxa"/>
        <w:tblInd w:w="0" w:type="dxa"/>
        <w:tblLook w:val="04A0" w:firstRow="1" w:lastRow="0" w:firstColumn="1" w:lastColumn="0" w:noHBand="0" w:noVBand="1"/>
      </w:tblPr>
      <w:tblGrid>
        <w:gridCol w:w="1221"/>
        <w:gridCol w:w="1155"/>
        <w:gridCol w:w="1134"/>
        <w:gridCol w:w="1134"/>
        <w:gridCol w:w="1134"/>
        <w:gridCol w:w="1276"/>
        <w:gridCol w:w="1276"/>
        <w:gridCol w:w="1276"/>
      </w:tblGrid>
      <w:tr w:rsidR="00585C44" w:rsidTr="00585C4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 zyskowności netto w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 płynności bieżącej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 ogólnego zadłużenia w 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 rotacji zobowiązań w dniach</w:t>
            </w:r>
          </w:p>
        </w:tc>
      </w:tr>
      <w:tr w:rsidR="00585C44" w:rsidTr="00585C44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</w:tr>
      <w:tr w:rsidR="00585C44" w:rsidTr="00585C44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pon. 0%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pon. 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pon.30%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pon.30 dni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85C44" w:rsidTr="00585C44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0%-3,0%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0,61-1,00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31%-60%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31-60 dni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85C44" w:rsidTr="00585C44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3,1%-5%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1,01-1,50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61%-80%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61-90 dni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85C44" w:rsidTr="00585C44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pow.5%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1,51-3,00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pow. 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91-120 dni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85C44" w:rsidTr="00585C44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pow.3,00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pow. 120 dni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Maksymalna łączna liczba punktów dla 4 powyższych wskaźników wynosi 35.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Minimalna łączna liczba punktów dla 4 powyższych wskaźników wynosi 0.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Wysokość nagrody rocznej na podstawie oceny działalności ekonomiczno-finansowej jednostki</w:t>
      </w:r>
    </w:p>
    <w:tbl>
      <w:tblPr>
        <w:tblStyle w:val="Tabela-Siatka"/>
        <w:tblW w:w="9464" w:type="dxa"/>
        <w:tblInd w:w="0" w:type="dxa"/>
        <w:tblLook w:val="04A0" w:firstRow="1" w:lastRow="0" w:firstColumn="1" w:lastColumn="0" w:noHBand="0" w:noVBand="1"/>
      </w:tblPr>
      <w:tblGrid>
        <w:gridCol w:w="1642"/>
        <w:gridCol w:w="2719"/>
        <w:gridCol w:w="1559"/>
        <w:gridCol w:w="3544"/>
      </w:tblGrid>
      <w:tr w:rsidR="00585C44" w:rsidTr="00585C4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  <w:p w:rsidR="00585C44" w:rsidRDefault="00585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0-35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Warunki dodatkowe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 nagrody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585C44" w:rsidTr="00585C4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26-35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 w:rsidP="00A071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dodatni wynik finansowy</w:t>
            </w:r>
          </w:p>
          <w:p w:rsidR="00585C44" w:rsidRDefault="00585C44" w:rsidP="00A0717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zobowiązań wymagalnych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3-krotność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niespełnienia jednego lub dwóch warunków dodatkowych wartość nagrody wynosi 2-krotność</w:t>
            </w:r>
          </w:p>
        </w:tc>
      </w:tr>
      <w:tr w:rsidR="00585C44" w:rsidTr="00585C4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 w:rsidP="00A0717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dodatni wynik finansowy po dodaniu amortyzacji</w:t>
            </w:r>
          </w:p>
          <w:p w:rsidR="00585C44" w:rsidRDefault="00585C44" w:rsidP="00A0717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zobowiązań wymagalnych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 krotność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niespełnienia jednego lub dwóch warunków dodatkowych wartość nagrody wynosi  1,5-krotność</w:t>
            </w:r>
          </w:p>
        </w:tc>
      </w:tr>
      <w:tr w:rsidR="00585C44" w:rsidTr="00585C4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16-20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 w:rsidP="00A0717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dodatni wynik finansowy po dodaniu amortyzacji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1,5- krotność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niespełnienia warunku  dodatkowego wartość nagrody wynosi  1-krotność</w:t>
            </w:r>
          </w:p>
        </w:tc>
      </w:tr>
      <w:tr w:rsidR="00585C44" w:rsidTr="00585C4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 w:rsidP="00A071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dodatni wynik finansowy po dodaniu amortyzacji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1-krotność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44" w:rsidRDefault="00585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niespełnienia warunku  dodatkowego nagrody nie przyznaje się</w:t>
            </w:r>
          </w:p>
        </w:tc>
      </w:tr>
      <w:tr w:rsidR="00585C44" w:rsidTr="00585C44">
        <w:trPr>
          <w:trHeight w:val="6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Nagrody nie przyznaje się</w:t>
            </w:r>
          </w:p>
        </w:tc>
      </w:tr>
    </w:tbl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Ocena pracy kierownika jednostki 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pracy kierownika jednostki w zakresie zgodności działań z przepisami prawa, statutem i regulaminem organizacyjnym oraz pod względem celowości, gospodarności i rzetelności w skali punktowej od 1 do 15.</w:t>
      </w: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Sposób obliczania nagrody rocznej</w:t>
      </w:r>
    </w:p>
    <w:p w:rsidR="00585C44" w:rsidRDefault="00585C44" w:rsidP="00585C4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Ustalenie wysokości nagrody rocznej na podstawie oceny działalności jednostki;</w:t>
      </w:r>
    </w:p>
    <w:p w:rsidR="00585C44" w:rsidRDefault="00585C44" w:rsidP="00585C4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Przyznanie punktów oceny pracy kierownika;</w:t>
      </w:r>
    </w:p>
    <w:p w:rsidR="00585C44" w:rsidRDefault="00585C44" w:rsidP="00585C4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Zsumowanie  punktów oceny działalności jednostki i punktów oceny pracy kierownika;</w:t>
      </w:r>
    </w:p>
    <w:p w:rsidR="00585C44" w:rsidRDefault="00585C44" w:rsidP="00585C4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Ustalenie wysokości nagrody rocznej wg poniższej  skali punktowej</w:t>
      </w:r>
    </w:p>
    <w:p w:rsidR="00585C44" w:rsidRDefault="00585C44" w:rsidP="00585C4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Skala punktowa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02"/>
        <w:gridCol w:w="2302"/>
      </w:tblGrid>
      <w:tr w:rsidR="00585C44" w:rsidTr="00585C44">
        <w:trPr>
          <w:trHeight w:val="4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nagrody</w:t>
            </w:r>
          </w:p>
        </w:tc>
      </w:tr>
      <w:tr w:rsidR="00585C44" w:rsidTr="00585C44">
        <w:trPr>
          <w:trHeight w:val="4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36-50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3-krotność</w:t>
            </w:r>
          </w:p>
        </w:tc>
      </w:tr>
      <w:tr w:rsidR="00585C44" w:rsidTr="00585C44">
        <w:trPr>
          <w:trHeight w:val="4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26-35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2-krotność</w:t>
            </w:r>
          </w:p>
        </w:tc>
      </w:tr>
      <w:tr w:rsidR="00585C44" w:rsidTr="00585C44">
        <w:trPr>
          <w:trHeight w:val="4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1,5-krotność</w:t>
            </w:r>
          </w:p>
        </w:tc>
      </w:tr>
      <w:tr w:rsidR="00585C44" w:rsidTr="00585C44">
        <w:trPr>
          <w:trHeight w:val="4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16-20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1-krotność</w:t>
            </w:r>
          </w:p>
        </w:tc>
      </w:tr>
      <w:tr w:rsidR="00585C44" w:rsidTr="00585C44">
        <w:trPr>
          <w:trHeight w:val="4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44" w:rsidRDefault="00585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85C44" w:rsidRDefault="00585C44" w:rsidP="00585C44">
      <w:pPr>
        <w:spacing w:after="0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spacing w:after="0"/>
        <w:rPr>
          <w:rFonts w:ascii="Arial" w:hAnsi="Arial" w:cs="Arial"/>
          <w:sz w:val="20"/>
          <w:szCs w:val="20"/>
        </w:rPr>
      </w:pPr>
    </w:p>
    <w:p w:rsidR="00585C44" w:rsidRDefault="00585C44" w:rsidP="00585C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Maksymalna możliwa do zdobycia liczba punktów wynosi 50, w tym maksymalna liczba punktów oceny działalności ekonomiczno-finansowej jednostki – 35 (70%), a maksymalna liczba punktów oceny pracy kierownika jednostki – 15 (30%).</w:t>
      </w:r>
    </w:p>
    <w:p w:rsidR="009950EB" w:rsidRPr="00420950" w:rsidRDefault="009950E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950EB" w:rsidRPr="00420950" w:rsidSect="001144E3"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3389"/>
    <w:multiLevelType w:val="hybridMultilevel"/>
    <w:tmpl w:val="D5EE92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2C3BC2"/>
    <w:multiLevelType w:val="hybridMultilevel"/>
    <w:tmpl w:val="C5B09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90F5A"/>
    <w:multiLevelType w:val="hybridMultilevel"/>
    <w:tmpl w:val="E9448F3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C346DA"/>
    <w:multiLevelType w:val="hybridMultilevel"/>
    <w:tmpl w:val="AD68F10C"/>
    <w:lvl w:ilvl="0" w:tplc="3E8E352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41FAC"/>
    <w:multiLevelType w:val="hybridMultilevel"/>
    <w:tmpl w:val="76ECAF5E"/>
    <w:lvl w:ilvl="0" w:tplc="0C7A286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6562A"/>
    <w:multiLevelType w:val="hybridMultilevel"/>
    <w:tmpl w:val="C07E2C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0F41B6"/>
    <w:multiLevelType w:val="hybridMultilevel"/>
    <w:tmpl w:val="6C24FBC6"/>
    <w:lvl w:ilvl="0" w:tplc="0762B5E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44"/>
    <w:rsid w:val="001144E3"/>
    <w:rsid w:val="00420950"/>
    <w:rsid w:val="00585C44"/>
    <w:rsid w:val="009950EB"/>
    <w:rsid w:val="00A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C44"/>
    <w:pPr>
      <w:ind w:left="720"/>
      <w:contextualSpacing/>
    </w:pPr>
  </w:style>
  <w:style w:type="table" w:styleId="Tabela-Siatka">
    <w:name w:val="Table Grid"/>
    <w:basedOn w:val="Standardowy"/>
    <w:uiPriority w:val="59"/>
    <w:rsid w:val="00585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C44"/>
    <w:pPr>
      <w:ind w:left="720"/>
      <w:contextualSpacing/>
    </w:pPr>
  </w:style>
  <w:style w:type="table" w:styleId="Tabela-Siatka">
    <w:name w:val="Table Grid"/>
    <w:basedOn w:val="Standardowy"/>
    <w:uiPriority w:val="59"/>
    <w:rsid w:val="00585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2017-01-13T10:31:00Z</dcterms:created>
  <dcterms:modified xsi:type="dcterms:W3CDTF">2017-01-13T10:31:00Z</dcterms:modified>
</cp:coreProperties>
</file>