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31" w:rsidRPr="00066C6C" w:rsidRDefault="00647467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  <w:r w:rsidRPr="0020084E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252FE1F1" wp14:editId="38FB9106">
            <wp:simplePos x="0" y="0"/>
            <wp:positionH relativeFrom="margin">
              <wp:posOffset>0</wp:posOffset>
            </wp:positionH>
            <wp:positionV relativeFrom="bottomMargin">
              <wp:posOffset>-8677910</wp:posOffset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76F9" w:rsidRPr="00066C6C" w:rsidRDefault="005B76F9" w:rsidP="00506612">
      <w:pPr>
        <w:pStyle w:val="Nagwek"/>
        <w:jc w:val="center"/>
        <w:rPr>
          <w:rFonts w:eastAsiaTheme="minorEastAsia"/>
          <w:b/>
          <w:lang w:eastAsia="pl-PL"/>
        </w:rPr>
      </w:pPr>
      <w:r w:rsidRPr="00066C6C">
        <w:rPr>
          <w:rFonts w:eastAsiaTheme="minorEastAsia"/>
          <w:b/>
          <w:sz w:val="24"/>
          <w:lang w:eastAsia="pl-PL"/>
        </w:rPr>
        <w:t xml:space="preserve">Metryki wskaźników </w:t>
      </w:r>
      <w:r w:rsidR="00066C6C" w:rsidRPr="00066C6C">
        <w:rPr>
          <w:rFonts w:eastAsiaTheme="minorEastAsia"/>
          <w:b/>
          <w:sz w:val="24"/>
          <w:lang w:eastAsia="pl-PL"/>
        </w:rPr>
        <w:t xml:space="preserve">dla </w:t>
      </w:r>
      <w:r w:rsidRPr="00066C6C">
        <w:rPr>
          <w:rFonts w:eastAsiaTheme="minorEastAsia"/>
          <w:b/>
          <w:sz w:val="24"/>
          <w:lang w:eastAsia="pl-PL"/>
        </w:rPr>
        <w:t xml:space="preserve">działania </w:t>
      </w:r>
      <w:r w:rsidR="00032FC6" w:rsidRPr="00032FC6">
        <w:rPr>
          <w:rFonts w:eastAsiaTheme="minorEastAsia"/>
          <w:b/>
          <w:sz w:val="24"/>
          <w:lang w:eastAsia="pl-PL"/>
        </w:rPr>
        <w:t>2.</w:t>
      </w:r>
      <w:r w:rsidR="00090A8F">
        <w:rPr>
          <w:rFonts w:eastAsiaTheme="minorEastAsia"/>
          <w:b/>
          <w:sz w:val="24"/>
          <w:lang w:eastAsia="pl-PL"/>
        </w:rPr>
        <w:t>12</w:t>
      </w:r>
      <w:r w:rsidR="00032FC6" w:rsidRPr="00032FC6">
        <w:rPr>
          <w:rFonts w:eastAsiaTheme="minorEastAsia"/>
          <w:b/>
          <w:sz w:val="24"/>
          <w:lang w:eastAsia="pl-PL"/>
        </w:rPr>
        <w:t xml:space="preserve"> </w:t>
      </w:r>
      <w:r w:rsidR="00090A8F" w:rsidRPr="00090A8F">
        <w:rPr>
          <w:rFonts w:eastAsiaTheme="minorEastAsia"/>
          <w:b/>
          <w:sz w:val="24"/>
          <w:lang w:eastAsia="pl-PL"/>
        </w:rPr>
        <w:t>Rozwój kogeneracyjnych źródeł energii</w:t>
      </w:r>
    </w:p>
    <w:p w:rsidR="00C965A2" w:rsidRPr="00066C6C" w:rsidRDefault="00C965A2">
      <w:pPr>
        <w:rPr>
          <w:rFonts w:cs="Arial"/>
        </w:rPr>
      </w:pPr>
    </w:p>
    <w:p w:rsidR="007611FC" w:rsidRDefault="007611FC" w:rsidP="007611FC">
      <w:pPr>
        <w:rPr>
          <w:rFonts w:cs="Arial"/>
        </w:rPr>
      </w:pPr>
      <w:r w:rsidRPr="00066C6C">
        <w:rPr>
          <w:b/>
          <w:sz w:val="24"/>
        </w:rPr>
        <w:t>Wskaźniki produktu:</w:t>
      </w:r>
      <w:r w:rsidRPr="00066C6C">
        <w:rPr>
          <w:rFonts w:cs="Arial"/>
        </w:rPr>
        <w:t xml:space="preserve">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066C6C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184394" w:rsidRDefault="00090A8F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Dodatkowa zdolność wytwarzania energii cieplnej w warunkach wysokosprawnej kogeneracji [MWt]</w:t>
            </w:r>
          </w:p>
        </w:tc>
      </w:tr>
      <w:tr w:rsidR="007611FC" w:rsidRPr="00184394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090A8F" w:rsidRDefault="00090A8F" w:rsidP="00090A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Ilość   energii   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cieplnej</w:t>
            </w: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 wyprodukowanej  w  warunkach  wysokosprawnej  kogeneracji,  rozumianej  jako  skojarzone  wytwarzani e energii elektrycznej i ciepła, spełniające następujące  kryteria: </w:t>
            </w:r>
          </w:p>
          <w:p w:rsidR="00B42E82" w:rsidRPr="00184394" w:rsidRDefault="00090A8F" w:rsidP="00090A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- produkcja pochodząca z układów skojarzonych o mocy zainstalowanej do 1  MW powinna zapewniać oszczędność energii pierwotnej  ( 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PSE- </w:t>
            </w: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>Primary Energy Savings) w wysokości  co  najmniej  10%  w  porównaniu  z  odpowiednimi  wielkościami  dla  rozdzielonego wytwarzania energii elektrycznej i ciepła.</w:t>
            </w:r>
          </w:p>
        </w:tc>
      </w:tr>
    </w:tbl>
    <w:p w:rsidR="007611FC" w:rsidRPr="00184394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184394" w:rsidTr="00184394">
        <w:trPr>
          <w:trHeight w:val="227"/>
        </w:trPr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18439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184394" w:rsidRDefault="00090A8F" w:rsidP="0018439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Dodatkowa zdolność wytwarzania energii elektrycznej w warunkach wysokosprawnej kogeneracji [MWe]</w:t>
            </w:r>
          </w:p>
        </w:tc>
      </w:tr>
      <w:tr w:rsidR="007611FC" w:rsidRPr="00184394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090A8F" w:rsidRDefault="00090A8F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Ilość   energii   elektrycznej  wyprodukowanej  w  warunkach  wysokosprawnej  kogeneracji,  rozumianej  jako  skojarzone wytwarzanie energii elektrycznej i ciepła,  spełniające następujące  kryteria: </w:t>
            </w:r>
          </w:p>
          <w:p w:rsidR="00BB5603" w:rsidRPr="00184394" w:rsidRDefault="00090A8F" w:rsidP="00090A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>- produkcja pochodząca z układów skojarzonych o mocy zainstalowanej do 1  MW powinna zapewniać oszczędność energii pierwotnej  (PES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-</w:t>
            </w: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Primary Energy Savings) w wysokości  co  najmniej  10%  w  porównaniu  z  odpowiednimi  wielkościami  dla  rozdzielonego wytwarzania energii elektrycznej i ciepła.</w:t>
            </w:r>
          </w:p>
        </w:tc>
      </w:tr>
    </w:tbl>
    <w:p w:rsidR="007611FC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376482" w:rsidRPr="00376482" w:rsidTr="00EC25AD">
        <w:tc>
          <w:tcPr>
            <w:tcW w:w="2416" w:type="dxa"/>
            <w:shd w:val="pct5" w:color="auto" w:fill="auto"/>
            <w:vAlign w:val="center"/>
          </w:tcPr>
          <w:p w:rsidR="00376482" w:rsidRPr="00184394" w:rsidRDefault="00376482" w:rsidP="00376482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376482" w:rsidRPr="00184394" w:rsidRDefault="00090A8F" w:rsidP="00376482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wybudowanych jednostek wytwarzania energii elektrycznej i cieplnej w ramach kogeneracji [szt.]</w:t>
            </w:r>
          </w:p>
        </w:tc>
      </w:tr>
      <w:tr w:rsidR="00376482" w:rsidRPr="00376482" w:rsidTr="00EC25AD">
        <w:tc>
          <w:tcPr>
            <w:tcW w:w="2416" w:type="dxa"/>
            <w:shd w:val="pct5" w:color="auto" w:fill="auto"/>
            <w:vAlign w:val="center"/>
          </w:tcPr>
          <w:p w:rsidR="00376482" w:rsidRPr="00184394" w:rsidRDefault="00376482" w:rsidP="00376482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090A8F" w:rsidRDefault="00090A8F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Wskaźnik  mierzy  liczbę  wybudowanych  w  wyniku  realizacji  projektu  jednostek  [zespołów,  urządzeń]  służących do wytwarzania energii elektrycznej i cieplnej w kogeneracji. </w:t>
            </w:r>
          </w:p>
          <w:p w:rsidR="00090A8F" w:rsidRDefault="00090A8F" w:rsidP="00090A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Jednostka kogeneracji  – jednostka, która może działać w trybie kogeneracji.  </w:t>
            </w:r>
          </w:p>
          <w:p w:rsidR="00376482" w:rsidRPr="00184394" w:rsidRDefault="00090A8F" w:rsidP="00090A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>Kogeneracja  – równoczesne  wytwarzanie  ciepła  i  energii  elektrycznej  lub  mechanicznej  w  trakcie  tego  samego  procesu  technologicznego.  Istotą  kogeneracji  jest  jednoczesne  wytwarzanie  kilku rodzajów energii przy użyciu jednego zespołu urządzeń. Jedynie energia elektryczna i ciepło wytworzone w urządzeniach wchodzących w skład jednostki kogeneracji  uznaje  się  za  energię wytworzoną w kogeneracji.</w:t>
            </w:r>
          </w:p>
        </w:tc>
      </w:tr>
    </w:tbl>
    <w:p w:rsidR="00376482" w:rsidRPr="00066C6C" w:rsidRDefault="00376482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066C6C" w:rsidTr="00EC25AD">
        <w:tc>
          <w:tcPr>
            <w:tcW w:w="2416" w:type="dxa"/>
            <w:shd w:val="pct5" w:color="auto" w:fill="auto"/>
            <w:vAlign w:val="center"/>
          </w:tcPr>
          <w:p w:rsidR="007611FC" w:rsidRPr="003E4CCD" w:rsidRDefault="007611FC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3E4CCD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3E4CCD" w:rsidRDefault="00090A8F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przebudowanych jednostek wytwarzania energii elektrycznej i cieplnej w ramach kogeneracji [szt.]</w:t>
            </w:r>
          </w:p>
        </w:tc>
      </w:tr>
      <w:tr w:rsidR="007611FC" w:rsidRPr="00066C6C" w:rsidTr="008A6E3A">
        <w:trPr>
          <w:trHeight w:val="394"/>
        </w:trPr>
        <w:tc>
          <w:tcPr>
            <w:tcW w:w="2416" w:type="dxa"/>
            <w:shd w:val="pct5" w:color="auto" w:fill="auto"/>
            <w:vAlign w:val="center"/>
          </w:tcPr>
          <w:p w:rsidR="007611FC" w:rsidRPr="003E4CCD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3E4CCD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090A8F" w:rsidRDefault="00090A8F" w:rsidP="00090A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Wskaźnik  mierzy  liczbę  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przebudowanych</w:t>
            </w: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 w  wyniku  realizacji  projektu  jednostek  [zespołów,  urządzeń]  służących do wytwarzania energii elektrycznej i cieplnej w kogeneracji.  </w:t>
            </w:r>
          </w:p>
          <w:p w:rsidR="00090A8F" w:rsidRDefault="00090A8F" w:rsidP="00090A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Jednostka kogeneracji  – jednostka, która może działać w trybie kogeneracji.  </w:t>
            </w:r>
          </w:p>
          <w:p w:rsidR="007611FC" w:rsidRPr="003E4CCD" w:rsidRDefault="00090A8F" w:rsidP="00090A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090A8F">
              <w:rPr>
                <w:rFonts w:cs="Arial"/>
                <w:color w:val="333399"/>
                <w:sz w:val="20"/>
                <w:szCs w:val="18"/>
                <w:lang w:eastAsia="pl-PL"/>
              </w:rPr>
              <w:lastRenderedPageBreak/>
              <w:t>Kogeneracja  – równoczesne  wytwarzanie  ciepła  i  energii  elektrycznej  lub  mechanicznej  w  trakcie  tego  samego  procesu  technologicznego.  Istotą  kogeneracji  jest  jednoczesne  wytwarzanie  kilku rodzajów energii przy użyciu  jednego zespołu urządzeń. Jedynie energia elektryczna i ciepło wytworzone w  urządzeniach  wchodzących  w  skład  jednostki  kogeneracji  uznaje  się  za  energię wytworzoną w kogeneracji.</w:t>
            </w:r>
          </w:p>
        </w:tc>
      </w:tr>
    </w:tbl>
    <w:p w:rsidR="007611FC" w:rsidRPr="00066C6C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8A6E3A" w:rsidRPr="007E5196" w:rsidTr="007813D3">
        <w:tc>
          <w:tcPr>
            <w:tcW w:w="2416" w:type="dxa"/>
            <w:shd w:val="pct5" w:color="auto" w:fill="auto"/>
            <w:vAlign w:val="center"/>
          </w:tcPr>
          <w:p w:rsidR="008A6E3A" w:rsidRPr="007E5196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A6E3A" w:rsidRPr="008A6E3A" w:rsidRDefault="007672F4" w:rsidP="007672F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7672F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przedsiębiorstw otrzymujących wsparcie [przedsiębiorstwa]</w:t>
            </w:r>
          </w:p>
        </w:tc>
      </w:tr>
      <w:tr w:rsidR="008A6E3A" w:rsidRPr="007E5196" w:rsidTr="007813D3">
        <w:tc>
          <w:tcPr>
            <w:tcW w:w="2416" w:type="dxa"/>
            <w:shd w:val="pct5" w:color="auto" w:fill="auto"/>
            <w:vAlign w:val="center"/>
          </w:tcPr>
          <w:p w:rsidR="008A6E3A" w:rsidRPr="007E5196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A6E3A" w:rsidRPr="007E5196" w:rsidRDefault="007672F4" w:rsidP="007672F4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7672F4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o</w:t>
            </w:r>
            <w:r w:rsidRPr="007672F4">
              <w:rPr>
                <w:rFonts w:cs="Arial"/>
                <w:color w:val="333399"/>
                <w:sz w:val="20"/>
                <w:szCs w:val="20"/>
                <w:lang w:eastAsia="pl-PL"/>
              </w:rPr>
              <w:t>bejmuje przedsiębiorstwa składające wniosek oraz   przedsiębiorstwa będące partnerami w ramach realizowanego projektu i mogące otrzymać wsparcie. W  przypadku  współpracy  przy  danych  projektach,  wskaźnik  zlicza  wszystkie  przedsiębiorstwa biorące w nim udział.</w:t>
            </w:r>
          </w:p>
        </w:tc>
      </w:tr>
    </w:tbl>
    <w:p w:rsidR="009968F1" w:rsidRDefault="009968F1" w:rsidP="00066C6C">
      <w:pPr>
        <w:rPr>
          <w:b/>
          <w:sz w:val="24"/>
        </w:rPr>
      </w:pPr>
    </w:p>
    <w:p w:rsidR="00066C6C" w:rsidRDefault="00066C6C" w:rsidP="00066C6C">
      <w:pPr>
        <w:rPr>
          <w:b/>
          <w:sz w:val="24"/>
        </w:rPr>
      </w:pPr>
      <w:r w:rsidRPr="00066C6C">
        <w:rPr>
          <w:b/>
          <w:sz w:val="24"/>
        </w:rPr>
        <w:t>Wskaźnik</w:t>
      </w:r>
      <w:r>
        <w:rPr>
          <w:b/>
          <w:sz w:val="24"/>
        </w:rPr>
        <w:t>i</w:t>
      </w:r>
      <w:r w:rsidRPr="00066C6C">
        <w:rPr>
          <w:b/>
          <w:sz w:val="24"/>
        </w:rPr>
        <w:t xml:space="preserve"> rezultatu bezpośredniego: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5B76F9" w:rsidRPr="007E5196" w:rsidTr="00AE3D69">
        <w:tc>
          <w:tcPr>
            <w:tcW w:w="2414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5B76F9" w:rsidRPr="007E5196" w:rsidRDefault="0030178A" w:rsidP="00DF0C19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Szacowany </w:t>
            </w:r>
            <w:r w:rsidR="00DF0C1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roczny </w:t>
            </w: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spadek emisji gazów cieplarnianych [tony równoważnika CO2</w:t>
            </w:r>
            <w:r w:rsidR="00D02B7B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/rok</w:t>
            </w: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]</w:t>
            </w:r>
          </w:p>
        </w:tc>
      </w:tr>
      <w:tr w:rsidR="005B76F9" w:rsidRPr="007E5196" w:rsidTr="00036DD4">
        <w:trPr>
          <w:trHeight w:val="482"/>
        </w:trPr>
        <w:tc>
          <w:tcPr>
            <w:tcW w:w="2414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3F7175" w:rsidRDefault="00646703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646703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szacowany roczny spadek emisji  gazów cieplarnianych.  </w:t>
            </w:r>
          </w:p>
          <w:p w:rsidR="00646703" w:rsidRDefault="003F7175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S</w:t>
            </w:r>
            <w:r w:rsidRPr="003F7175">
              <w:rPr>
                <w:rFonts w:cs="Arial"/>
                <w:color w:val="333399"/>
                <w:sz w:val="20"/>
                <w:szCs w:val="20"/>
                <w:lang w:eastAsia="pl-PL"/>
              </w:rPr>
              <w:t>zacunkowy spadek emisji gazów, objęty wskaźnikiem, musi dotyczyć okresu 12 miesięcy od zakończenia okresu realizacji projektu określonego w umowie o dofinansowaniu projektu lub, o ile wynika to ze specyfiki projektu, od uruchomienia przedsięwzięcia.</w:t>
            </w:r>
          </w:p>
          <w:p w:rsidR="008C1B96" w:rsidRPr="007E5196" w:rsidRDefault="008C1B96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5324C4" w:rsidRDefault="005324C4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Wzrost zatrudnienia we wspieranych przedsiębiorstwach [EPC] /</w:t>
            </w:r>
          </w:p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przedsiębiorstwach – kobiety [EPC] / </w:t>
            </w:r>
          </w:p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przedsiębiorstwach – mężczyźni [EPC] </w:t>
            </w:r>
          </w:p>
        </w:tc>
      </w:tr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utworzonych w przedsiębiorstwa w wyniku realizacji projektu wykazywana w ekwiwalencie pełnego czasu pracy (EPC), przy czym etaty częściowe podlegają sumowaniu lecz nie są zaokrąglane do pełnych jednostek. Dotyczy zatrudnionych na podstawie umowy o pracę (nie dotyczy umów cywilnoprawnych).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ujmuje wzrost zatrudnienia, który jest bezpośrednią konsekwencją realizacji projektu (nie wlicza się pracowników zatrudnionych do realizacji projektu). Jeśli łączne zatrudnienie w podmiocie nie wzrasta, wartość jest równa zero - jest to traktowane jako wyrównanie, a nie zwiększenie. Zachowane itp. miejsca pracy nie są wliczane.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</w:p>
        </w:tc>
      </w:tr>
    </w:tbl>
    <w:p w:rsidR="007E5196" w:rsidRPr="00E215CE" w:rsidRDefault="007E5196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7E5196" w:rsidRPr="00E215CE" w:rsidTr="007E5196">
        <w:trPr>
          <w:trHeight w:val="1079"/>
        </w:trPr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D02B7B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podmiotach (innych niż przedsiębiorstwa) [EPC] / </w:t>
            </w:r>
          </w:p>
          <w:p w:rsidR="00D02B7B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podmiotach (innych niż przedsiębiorstwa) – kobiety [EPC] / 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Wzrost zatrudnienia we wspieranych podmiotach (innych niż przedsiębiorstwa) – mężczyźni [EPC]</w:t>
            </w:r>
          </w:p>
        </w:tc>
      </w:tr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lastRenderedPageBreak/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utworzonych w podmiotach innych niż przedsiębiorstwa w wyniku realizacji projektu wykazywana w ekwiwalencie pełnego czasu pracy (EPC), przy czym etaty częściowe podlegają sumowaniu lecz nie są zaokrąglane do pełnych jednostek. Dotyczy zatrudnionych na podstawie umowy o pracę (nie dotyczy umów cywilnoprawnych).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ujmuje wzrost zatrudnienia, który jest bezpośrednią konsekwencją realizacji projektu (nie wlicza się pracowników zatrudnionych do realizacji projektu). Jeśli łączne zatrudnienie w podmiocie nie wzrasta, wartość jest równa zero - jest to traktowane jako wyrównanie, a nie zwiększenie. Zachowane itp. miejsca pracy nie są wliczane.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7E5196" w:rsidRPr="00E215CE" w:rsidRDefault="007E5196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utrzymanych miejsc pracy  [EPC] / 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utrzymanych miejsc pracy - kobiety [EPC] / </w:t>
            </w:r>
          </w:p>
          <w:p w:rsidR="0096105B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Liczba utrzymanych miejsc pracy - mężczyźni [EPC]</w:t>
            </w:r>
          </w:p>
        </w:tc>
      </w:tr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brutto w pełnym wymiarze czasu pracy, które zostały utrzymane w wyniku wsparcia, w ciągu pełnego roku kalendarzowego od zakończenia realizacji projektu, a które byłyby zlikwidowane, gdyby tego wsparcia Beneficjent nie uzyskał.</w:t>
            </w:r>
          </w:p>
          <w:p w:rsidR="0096105B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</w:tc>
      </w:tr>
    </w:tbl>
    <w:p w:rsidR="0096105B" w:rsidRPr="00E215CE" w:rsidRDefault="0096105B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nowo utworzonych miejsc pracy – pozostałe formy [EPC] / 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nowo utworzonych miejsc pracy – pozostałe formy – kobiety [EPC] / </w:t>
            </w:r>
          </w:p>
          <w:p w:rsidR="0096105B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Liczba nowo utworzonych miejsc pracy – pozostałe formy – mężczyźni [EPC]</w:t>
            </w:r>
          </w:p>
        </w:tc>
      </w:tr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96105B" w:rsidRPr="00E215CE" w:rsidRDefault="006B3745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odnosi się do miejsc pracy utworzonych w wyniku realizacji projektu, które nie spełniają definicji określonych dla pozostałych wskaźników dot. miejsc pracy</w:t>
            </w:r>
            <w:r w:rsidR="007E5196"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</w:t>
            </w: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Służy do pomiaru liczby etatów w odniesieniu do pracowników pracujących na podstawie umów cywilnoprawnych tj.: umów o dzieło, umów zlecenia czy samozatrudnienia – kontraktu, jaki pracujących na podstawie umów o pracę dotyczących etatów nie stałych i nie trwałych - np.: do obsługi projektu, zarówno w przedsiębiorstwach jak i pozostałych podmiotach nie będących przedsiębiorstwami, zatrudnionych bezpośrednio w efekcie realizacji projektu.</w:t>
            </w:r>
          </w:p>
          <w:p w:rsidR="007E5196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</w:tc>
      </w:tr>
    </w:tbl>
    <w:p w:rsidR="0096105B" w:rsidRPr="00E215CE" w:rsidRDefault="0096105B" w:rsidP="00862382">
      <w:pPr>
        <w:rPr>
          <w:b/>
          <w:sz w:val="20"/>
          <w:szCs w:val="20"/>
        </w:rPr>
      </w:pPr>
    </w:p>
    <w:p w:rsidR="007E5196" w:rsidRPr="00E215CE" w:rsidRDefault="007E5196" w:rsidP="00862382">
      <w:pPr>
        <w:rPr>
          <w:b/>
          <w:sz w:val="20"/>
          <w:szCs w:val="20"/>
        </w:rPr>
      </w:pPr>
    </w:p>
    <w:sectPr w:rsidR="007E5196" w:rsidRPr="00E215CE" w:rsidSect="00406F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37C" w:rsidRDefault="00B1037C" w:rsidP="00066C6C">
      <w:pPr>
        <w:spacing w:after="0" w:line="240" w:lineRule="auto"/>
      </w:pPr>
      <w:r>
        <w:separator/>
      </w:r>
    </w:p>
  </w:endnote>
  <w:endnote w:type="continuationSeparator" w:id="0">
    <w:p w:rsidR="00B1037C" w:rsidRDefault="00B1037C" w:rsidP="0006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756" w:rsidRDefault="000A07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837728"/>
      <w:docPartObj>
        <w:docPartGallery w:val="Page Numbers (Bottom of Page)"/>
        <w:docPartUnique/>
      </w:docPartObj>
    </w:sdtPr>
    <w:sdtEndPr/>
    <w:sdtContent>
      <w:sdt>
        <w:sdtPr>
          <w:id w:val="-2137788607"/>
          <w:docPartObj>
            <w:docPartGallery w:val="Page Numbers (Top of Page)"/>
            <w:docPartUnique/>
          </w:docPartObj>
        </w:sdtPr>
        <w:sdtEndPr/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075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07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6F36" w:rsidRDefault="00406F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7698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742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4DB7" w:rsidRDefault="00794D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37C" w:rsidRDefault="00B1037C" w:rsidP="00066C6C">
      <w:pPr>
        <w:spacing w:after="0" w:line="240" w:lineRule="auto"/>
      </w:pPr>
      <w:r>
        <w:separator/>
      </w:r>
    </w:p>
  </w:footnote>
  <w:footnote w:type="continuationSeparator" w:id="0">
    <w:p w:rsidR="00B1037C" w:rsidRDefault="00B1037C" w:rsidP="0006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756" w:rsidRDefault="000A07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F36" w:rsidRDefault="00406F36" w:rsidP="00406F36">
    <w:pPr>
      <w:pStyle w:val="Nagwek"/>
      <w:jc w:val="right"/>
    </w:pPr>
    <w:r w:rsidRPr="00406F36">
      <w:t xml:space="preserve">Załącznik nr </w:t>
    </w:r>
    <w:r w:rsidR="000A0756">
      <w:t>7</w:t>
    </w:r>
    <w:bookmarkStart w:id="0" w:name="_GoBack"/>
    <w:bookmarkEnd w:id="0"/>
    <w:r w:rsidRPr="00406F36">
      <w:t xml:space="preserve"> do Regulaminu konkursu</w:t>
    </w:r>
  </w:p>
  <w:p w:rsidR="00D264CE" w:rsidRDefault="00D264CE" w:rsidP="00406F36">
    <w:pPr>
      <w:pStyle w:val="Nagwek"/>
      <w:jc w:val="right"/>
    </w:pPr>
    <w:r w:rsidRPr="00D264CE">
      <w:t>nr RPZP.02.</w:t>
    </w:r>
    <w:r w:rsidR="00090A8F">
      <w:t>12</w:t>
    </w:r>
    <w:r w:rsidR="00647467">
      <w:t>.00-IZ</w:t>
    </w:r>
    <w:r w:rsidRPr="00D264CE">
      <w:t>.0</w:t>
    </w:r>
    <w:r w:rsidR="00647467">
      <w:t>0</w:t>
    </w:r>
    <w:r w:rsidRPr="00D264CE">
      <w:t>-32-KO</w:t>
    </w:r>
    <w:r>
      <w:t>1</w:t>
    </w:r>
    <w:r w:rsidRPr="00D264CE">
      <w:t>/17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DB" w:rsidRDefault="003A71DB" w:rsidP="003A71DB">
    <w:pPr>
      <w:pStyle w:val="Nagwek"/>
      <w:jc w:val="right"/>
    </w:pPr>
    <w:r>
      <w:t xml:space="preserve">Załącznik nr </w:t>
    </w:r>
    <w:r w:rsidR="00FE021B">
      <w:t>8</w:t>
    </w:r>
    <w:r>
      <w:t xml:space="preserve"> do Regulaminu </w:t>
    </w:r>
    <w:r w:rsidR="007E0311">
      <w:t>konkursu</w:t>
    </w:r>
  </w:p>
  <w:p w:rsidR="00794DB7" w:rsidRDefault="00794DB7" w:rsidP="003A71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D03AE"/>
    <w:multiLevelType w:val="hybridMultilevel"/>
    <w:tmpl w:val="C5224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F9"/>
    <w:rsid w:val="00010CA9"/>
    <w:rsid w:val="00032FC6"/>
    <w:rsid w:val="00034BF8"/>
    <w:rsid w:val="00036DD4"/>
    <w:rsid w:val="00052A37"/>
    <w:rsid w:val="00066C6C"/>
    <w:rsid w:val="00090A8F"/>
    <w:rsid w:val="000A0756"/>
    <w:rsid w:val="000D3872"/>
    <w:rsid w:val="00102614"/>
    <w:rsid w:val="00105B27"/>
    <w:rsid w:val="00184394"/>
    <w:rsid w:val="001B79F2"/>
    <w:rsid w:val="002546AE"/>
    <w:rsid w:val="0030178A"/>
    <w:rsid w:val="00304C97"/>
    <w:rsid w:val="00316D32"/>
    <w:rsid w:val="00353642"/>
    <w:rsid w:val="003702B3"/>
    <w:rsid w:val="00376482"/>
    <w:rsid w:val="003A03FC"/>
    <w:rsid w:val="003A71DB"/>
    <w:rsid w:val="003B6A31"/>
    <w:rsid w:val="003E0868"/>
    <w:rsid w:val="003E31C0"/>
    <w:rsid w:val="003E4CCD"/>
    <w:rsid w:val="003F7175"/>
    <w:rsid w:val="00406F36"/>
    <w:rsid w:val="004961B7"/>
    <w:rsid w:val="004A3687"/>
    <w:rsid w:val="004A63F5"/>
    <w:rsid w:val="00506612"/>
    <w:rsid w:val="005324C4"/>
    <w:rsid w:val="005B76F9"/>
    <w:rsid w:val="005D1618"/>
    <w:rsid w:val="006439FE"/>
    <w:rsid w:val="00646703"/>
    <w:rsid w:val="00647467"/>
    <w:rsid w:val="00666C5D"/>
    <w:rsid w:val="006A2A91"/>
    <w:rsid w:val="006B3745"/>
    <w:rsid w:val="00704030"/>
    <w:rsid w:val="0071565C"/>
    <w:rsid w:val="0074448B"/>
    <w:rsid w:val="007611FC"/>
    <w:rsid w:val="007672F4"/>
    <w:rsid w:val="00794DB7"/>
    <w:rsid w:val="007A6C78"/>
    <w:rsid w:val="007E0311"/>
    <w:rsid w:val="007E5196"/>
    <w:rsid w:val="007F1928"/>
    <w:rsid w:val="00812BCE"/>
    <w:rsid w:val="008304A0"/>
    <w:rsid w:val="008331A8"/>
    <w:rsid w:val="008401C1"/>
    <w:rsid w:val="00862382"/>
    <w:rsid w:val="00896337"/>
    <w:rsid w:val="008A6E3A"/>
    <w:rsid w:val="008C1B96"/>
    <w:rsid w:val="008E02B6"/>
    <w:rsid w:val="008E413F"/>
    <w:rsid w:val="009073F0"/>
    <w:rsid w:val="009449E4"/>
    <w:rsid w:val="0096105B"/>
    <w:rsid w:val="009968F1"/>
    <w:rsid w:val="009C3D1E"/>
    <w:rsid w:val="009F5C1D"/>
    <w:rsid w:val="00A426DB"/>
    <w:rsid w:val="00AA4446"/>
    <w:rsid w:val="00AE11B8"/>
    <w:rsid w:val="00AE3D69"/>
    <w:rsid w:val="00B1037C"/>
    <w:rsid w:val="00B16E69"/>
    <w:rsid w:val="00B21BD2"/>
    <w:rsid w:val="00B42E82"/>
    <w:rsid w:val="00BA2327"/>
    <w:rsid w:val="00BB39F5"/>
    <w:rsid w:val="00BB5603"/>
    <w:rsid w:val="00C120F5"/>
    <w:rsid w:val="00C12689"/>
    <w:rsid w:val="00C2318F"/>
    <w:rsid w:val="00C33579"/>
    <w:rsid w:val="00C86B4C"/>
    <w:rsid w:val="00C965A2"/>
    <w:rsid w:val="00CD73B3"/>
    <w:rsid w:val="00CE260B"/>
    <w:rsid w:val="00CF3A36"/>
    <w:rsid w:val="00D02B7B"/>
    <w:rsid w:val="00D16DB3"/>
    <w:rsid w:val="00D23D27"/>
    <w:rsid w:val="00D264CE"/>
    <w:rsid w:val="00D36CF9"/>
    <w:rsid w:val="00D42625"/>
    <w:rsid w:val="00D55E3E"/>
    <w:rsid w:val="00D71552"/>
    <w:rsid w:val="00DB5703"/>
    <w:rsid w:val="00DB59B8"/>
    <w:rsid w:val="00DC5FAB"/>
    <w:rsid w:val="00DF0C19"/>
    <w:rsid w:val="00E00D79"/>
    <w:rsid w:val="00E215CE"/>
    <w:rsid w:val="00EA70CD"/>
    <w:rsid w:val="00F02028"/>
    <w:rsid w:val="00F15F86"/>
    <w:rsid w:val="00F37423"/>
    <w:rsid w:val="00F41D8B"/>
    <w:rsid w:val="00F710E3"/>
    <w:rsid w:val="00F725A4"/>
    <w:rsid w:val="00F7341C"/>
    <w:rsid w:val="00FC5F2B"/>
    <w:rsid w:val="00FE021B"/>
    <w:rsid w:val="00FE1C14"/>
    <w:rsid w:val="00FE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15A1FE5-814B-4688-8F1B-AEF5734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5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C6C"/>
  </w:style>
  <w:style w:type="paragraph" w:styleId="Stopka">
    <w:name w:val="footer"/>
    <w:basedOn w:val="Normalny"/>
    <w:link w:val="Stopka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C6C"/>
  </w:style>
  <w:style w:type="paragraph" w:styleId="Bezodstpw">
    <w:name w:val="No Spacing"/>
    <w:basedOn w:val="Normalny"/>
    <w:uiPriority w:val="1"/>
    <w:qFormat/>
    <w:rsid w:val="00CF3A36"/>
    <w:pPr>
      <w:spacing w:after="0" w:line="240" w:lineRule="auto"/>
    </w:pPr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1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1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11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42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12689"/>
    <w:pPr>
      <w:ind w:left="720"/>
      <w:contextualSpacing/>
    </w:pPr>
  </w:style>
  <w:style w:type="character" w:customStyle="1" w:styleId="Teksttreci7">
    <w:name w:val="Tekst treści (7)_"/>
    <w:basedOn w:val="Domylnaczcionkaakapitu"/>
    <w:link w:val="Teksttreci70"/>
    <w:rsid w:val="005324C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5324C4"/>
    <w:pPr>
      <w:shd w:val="clear" w:color="auto" w:fill="FFFFFF"/>
      <w:spacing w:after="0" w:line="211" w:lineRule="exact"/>
      <w:jc w:val="both"/>
    </w:pPr>
    <w:rPr>
      <w:rFonts w:ascii="Calibri" w:eastAsia="Calibri" w:hAnsi="Calibri" w:cs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0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1F243-DF28-499D-BA03-C5486F94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1050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MR. Reszeta</dc:creator>
  <cp:keywords/>
  <dc:description/>
  <cp:lastModifiedBy>Piotr PP. Piosicki</cp:lastModifiedBy>
  <cp:revision>6</cp:revision>
  <cp:lastPrinted>2016-11-24T08:43:00Z</cp:lastPrinted>
  <dcterms:created xsi:type="dcterms:W3CDTF">2017-05-22T11:06:00Z</dcterms:created>
  <dcterms:modified xsi:type="dcterms:W3CDTF">2017-05-25T11:57:00Z</dcterms:modified>
</cp:coreProperties>
</file>